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96968" w14:textId="77777777" w:rsidR="00477E0D" w:rsidRDefault="00AC0E4E" w:rsidP="00477E0D">
      <w:pPr>
        <w:pStyle w:val="BodyText"/>
        <w:jc w:val="left"/>
        <w:rPr>
          <w:rFonts w:ascii="Verdana" w:hAnsi="Verdana"/>
          <w:b/>
          <w:sz w:val="28"/>
          <w:szCs w:val="28"/>
        </w:rPr>
      </w:pPr>
      <w:r>
        <w:rPr>
          <w:rFonts w:eastAsiaTheme="minorHAnsi"/>
          <w:noProof/>
          <w:szCs w:val="24"/>
          <w:lang w:eastAsia="en-GB"/>
        </w:rPr>
        <mc:AlternateContent>
          <mc:Choice Requires="wps">
            <w:drawing>
              <wp:anchor distT="91440" distB="91440" distL="114300" distR="114300" simplePos="0" relativeHeight="251659264" behindDoc="0" locked="0" layoutInCell="0" allowOverlap="1" wp14:anchorId="39B96B7E" wp14:editId="39B96B7F">
                <wp:simplePos x="0" y="0"/>
                <wp:positionH relativeFrom="margin">
                  <wp:posOffset>2820670</wp:posOffset>
                </wp:positionH>
                <wp:positionV relativeFrom="margin">
                  <wp:posOffset>-18415</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39B96BA6" w14:textId="389381B1" w:rsidR="0066361A" w:rsidRDefault="0066361A" w:rsidP="00AC0E4E">
                            <w:pPr>
                              <w:rPr>
                                <w:color w:val="4F81BD" w:themeColor="accent1"/>
                              </w:rPr>
                            </w:pPr>
                            <w:r w:rsidRPr="006E5946">
                              <w:rPr>
                                <w:noProof/>
                                <w:lang w:val="en-GB" w:eastAsia="en-GB"/>
                              </w:rPr>
                              <w:drawing>
                                <wp:inline distT="0" distB="0" distL="0" distR="0" wp14:anchorId="393C17F4" wp14:editId="4101D0A7">
                                  <wp:extent cx="2270760" cy="8145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954" cy="823607"/>
                                          </a:xfrm>
                                          <a:prstGeom prst="rect">
                                            <a:avLst/>
                                          </a:prstGeom>
                                          <a:noFill/>
                                          <a:ln>
                                            <a:noFill/>
                                          </a:ln>
                                        </pic:spPr>
                                      </pic:pic>
                                    </a:graphicData>
                                  </a:graphic>
                                </wp:inline>
                              </w:drawing>
                            </w:r>
                          </w:p>
                          <w:p w14:paraId="39B96BA7" w14:textId="77777777" w:rsidR="0066361A" w:rsidRDefault="0066361A" w:rsidP="00AC0E4E">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9B96B7E" id="Rectangle 698" o:spid="_x0000_s1026" style="position:absolute;margin-left:222.1pt;margin-top:-1.45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" o:allowincell="f" filled="f" strokecolor="gray [1629]">
                <v:textbox inset="21.6pt,21.6pt,21.6pt,21.6pt">
                  <w:txbxContent>
                    <w:p w14:paraId="39B96BA6" w14:textId="389381B1" w:rsidR="0066361A" w:rsidRDefault="0066361A" w:rsidP="00AC0E4E">
                      <w:pPr>
                        <w:rPr>
                          <w:color w:val="4F81BD" w:themeColor="accent1"/>
                        </w:rPr>
                      </w:pPr>
                      <w:r w:rsidRPr="006E5946">
                        <w:rPr>
                          <w:noProof/>
                          <w:lang w:val="en-GB" w:eastAsia="en-GB"/>
                        </w:rPr>
                        <w:drawing>
                          <wp:inline distT="0" distB="0" distL="0" distR="0" wp14:anchorId="393C17F4" wp14:editId="4101D0A7">
                            <wp:extent cx="2270760" cy="8145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954" cy="823607"/>
                                    </a:xfrm>
                                    <a:prstGeom prst="rect">
                                      <a:avLst/>
                                    </a:prstGeom>
                                    <a:noFill/>
                                    <a:ln>
                                      <a:noFill/>
                                    </a:ln>
                                  </pic:spPr>
                                </pic:pic>
                              </a:graphicData>
                            </a:graphic>
                          </wp:inline>
                        </w:drawing>
                      </w:r>
                    </w:p>
                    <w:p w14:paraId="39B96BA7" w14:textId="77777777" w:rsidR="0066361A" w:rsidRDefault="0066361A" w:rsidP="00AC0E4E">
                      <w:pPr>
                        <w:rPr>
                          <w:color w:val="4F81BD" w:themeColor="accent1"/>
                        </w:rPr>
                      </w:pPr>
                    </w:p>
                  </w:txbxContent>
                </v:textbox>
                <w10:wrap type="square" anchorx="margin" anchory="margin"/>
              </v:rect>
            </w:pict>
          </mc:Fallback>
        </mc:AlternateContent>
      </w:r>
    </w:p>
    <w:p w14:paraId="39B96969" w14:textId="77777777" w:rsidR="00E9111C" w:rsidRDefault="00E9111C" w:rsidP="00BD56EE">
      <w:pPr>
        <w:pStyle w:val="BodyText"/>
        <w:jc w:val="center"/>
        <w:rPr>
          <w:rFonts w:ascii="Verdana" w:hAnsi="Verdana"/>
          <w:b/>
          <w:sz w:val="28"/>
          <w:szCs w:val="28"/>
        </w:rPr>
      </w:pPr>
    </w:p>
    <w:p w14:paraId="39B9696A" w14:textId="77777777" w:rsidR="00E9111C" w:rsidRDefault="00E9111C" w:rsidP="00BD56EE">
      <w:pPr>
        <w:pStyle w:val="BodyText"/>
        <w:jc w:val="center"/>
        <w:rPr>
          <w:rFonts w:ascii="Verdana" w:hAnsi="Verdana"/>
          <w:b/>
          <w:sz w:val="28"/>
          <w:szCs w:val="28"/>
        </w:rPr>
      </w:pPr>
    </w:p>
    <w:p w14:paraId="39B9696B" w14:textId="77777777" w:rsidR="00E9111C" w:rsidRDefault="00E9111C" w:rsidP="00BD56EE">
      <w:pPr>
        <w:pStyle w:val="BodyText"/>
        <w:jc w:val="center"/>
        <w:rPr>
          <w:rFonts w:ascii="Verdana" w:hAnsi="Verdana"/>
          <w:b/>
          <w:sz w:val="28"/>
          <w:szCs w:val="28"/>
        </w:rPr>
      </w:pPr>
    </w:p>
    <w:p w14:paraId="39B9696C" w14:textId="77777777" w:rsidR="00E9111C" w:rsidRDefault="00E9111C" w:rsidP="00BD56EE">
      <w:pPr>
        <w:pStyle w:val="BodyText"/>
        <w:jc w:val="center"/>
        <w:rPr>
          <w:rFonts w:ascii="Verdana" w:hAnsi="Verdana"/>
          <w:b/>
          <w:sz w:val="28"/>
          <w:szCs w:val="28"/>
        </w:rPr>
      </w:pPr>
    </w:p>
    <w:p w14:paraId="39B9696D" w14:textId="77777777" w:rsidR="00491DA1" w:rsidRDefault="00491DA1" w:rsidP="00BD56EE">
      <w:pPr>
        <w:pStyle w:val="BodyText"/>
        <w:jc w:val="center"/>
        <w:rPr>
          <w:rFonts w:ascii="Verdana" w:hAnsi="Verdana"/>
          <w:b/>
          <w:sz w:val="28"/>
          <w:szCs w:val="28"/>
        </w:rPr>
      </w:pPr>
    </w:p>
    <w:p w14:paraId="39B9696E" w14:textId="77777777" w:rsidR="00BD56EE" w:rsidRPr="00AC0E4E" w:rsidRDefault="00BD56EE" w:rsidP="00BD56EE">
      <w:pPr>
        <w:pStyle w:val="BodyText"/>
        <w:jc w:val="center"/>
        <w:rPr>
          <w:rFonts w:ascii="Verdana" w:hAnsi="Verdana"/>
          <w:b/>
          <w:szCs w:val="24"/>
        </w:rPr>
      </w:pPr>
      <w:r w:rsidRPr="00AC0E4E">
        <w:rPr>
          <w:rFonts w:ascii="Verdana" w:hAnsi="Verdana"/>
          <w:b/>
          <w:szCs w:val="24"/>
        </w:rPr>
        <w:t>Analysis of the most appropriate risk management option (RMOA)</w:t>
      </w:r>
    </w:p>
    <w:p w14:paraId="39B9696F" w14:textId="77777777" w:rsidR="000D5311" w:rsidRDefault="000D5311" w:rsidP="00763E35">
      <w:pPr>
        <w:pStyle w:val="BodyText"/>
        <w:jc w:val="left"/>
        <w:rPr>
          <w:rFonts w:ascii="Verdana" w:hAnsi="Verdana"/>
          <w:b/>
          <w:sz w:val="32"/>
        </w:rPr>
      </w:pPr>
    </w:p>
    <w:p w14:paraId="39B96970" w14:textId="192D021C" w:rsidR="00C75A23" w:rsidRPr="00937276" w:rsidRDefault="00C75A23" w:rsidP="00C75A23">
      <w:pPr>
        <w:pStyle w:val="BodyText"/>
        <w:jc w:val="left"/>
        <w:rPr>
          <w:rFonts w:ascii="Verdana" w:hAnsi="Verdana"/>
          <w:sz w:val="20"/>
        </w:rPr>
      </w:pPr>
      <w:r>
        <w:rPr>
          <w:rFonts w:ascii="Verdana" w:hAnsi="Verdana"/>
          <w:b/>
          <w:sz w:val="20"/>
        </w:rPr>
        <w:t>Substance Name</w:t>
      </w:r>
      <w:r w:rsidRPr="003607CA">
        <w:rPr>
          <w:rFonts w:ascii="Verdana" w:hAnsi="Verdana"/>
          <w:b/>
          <w:sz w:val="20"/>
        </w:rPr>
        <w:t>:</w:t>
      </w:r>
      <w:r w:rsidR="00EF4977">
        <w:rPr>
          <w:rFonts w:ascii="Verdana" w:hAnsi="Verdana"/>
          <w:b/>
          <w:sz w:val="20"/>
        </w:rPr>
        <w:t xml:space="preserve"> Alkanes, C14-17, chloro</w:t>
      </w:r>
    </w:p>
    <w:p w14:paraId="39B96971" w14:textId="3AA8435D" w:rsidR="00C75A23" w:rsidRPr="00937276" w:rsidRDefault="00C75A23" w:rsidP="00C75A23">
      <w:pPr>
        <w:pStyle w:val="BodyText"/>
        <w:jc w:val="left"/>
        <w:rPr>
          <w:rFonts w:ascii="Verdana" w:hAnsi="Verdana"/>
          <w:sz w:val="20"/>
        </w:rPr>
      </w:pPr>
      <w:r w:rsidRPr="003607CA">
        <w:rPr>
          <w:rFonts w:ascii="Verdana" w:hAnsi="Verdana"/>
          <w:b/>
          <w:sz w:val="20"/>
        </w:rPr>
        <w:t>EC Number:</w:t>
      </w:r>
      <w:r w:rsidR="00EF4977" w:rsidRPr="00EF4977">
        <w:t xml:space="preserve"> </w:t>
      </w:r>
      <w:r w:rsidR="00EF4977" w:rsidRPr="00EF4977">
        <w:rPr>
          <w:rFonts w:ascii="Verdana" w:hAnsi="Verdana"/>
          <w:b/>
          <w:sz w:val="20"/>
        </w:rPr>
        <w:t>287-477-0</w:t>
      </w:r>
    </w:p>
    <w:p w14:paraId="39B96972" w14:textId="077A486B" w:rsidR="00C75A23" w:rsidRPr="00937276" w:rsidRDefault="00C75A23" w:rsidP="00C75A23">
      <w:pPr>
        <w:pStyle w:val="BodyText"/>
        <w:jc w:val="left"/>
        <w:rPr>
          <w:rFonts w:ascii="Verdana" w:hAnsi="Verdana"/>
          <w:sz w:val="32"/>
        </w:rPr>
      </w:pPr>
      <w:r w:rsidRPr="003607CA">
        <w:rPr>
          <w:rFonts w:ascii="Verdana" w:hAnsi="Verdana"/>
          <w:b/>
          <w:sz w:val="20"/>
        </w:rPr>
        <w:t>CAS Number:</w:t>
      </w:r>
      <w:r w:rsidR="00EF4977" w:rsidRPr="00EF4977">
        <w:t xml:space="preserve"> </w:t>
      </w:r>
      <w:r w:rsidR="00EF4977" w:rsidRPr="00EF4977">
        <w:rPr>
          <w:rFonts w:ascii="Verdana" w:hAnsi="Verdana"/>
          <w:b/>
          <w:sz w:val="20"/>
        </w:rPr>
        <w:t>85535-85-9</w:t>
      </w:r>
    </w:p>
    <w:p w14:paraId="39B96973" w14:textId="77777777" w:rsidR="00C75A23" w:rsidRDefault="00C75A23" w:rsidP="00C75A23">
      <w:pPr>
        <w:pStyle w:val="BodyText"/>
        <w:jc w:val="left"/>
        <w:rPr>
          <w:rFonts w:ascii="Verdana" w:hAnsi="Verdana"/>
          <w:b/>
          <w:sz w:val="32"/>
        </w:rPr>
      </w:pPr>
    </w:p>
    <w:p w14:paraId="39B96974" w14:textId="7FB9CC92" w:rsidR="00C75A23" w:rsidRDefault="00C75A23" w:rsidP="00C75A23">
      <w:pPr>
        <w:pStyle w:val="BodyText"/>
        <w:jc w:val="left"/>
        <w:rPr>
          <w:rFonts w:ascii="Verdana" w:hAnsi="Verdana"/>
          <w:b/>
          <w:sz w:val="32"/>
        </w:rPr>
      </w:pPr>
      <w:r w:rsidRPr="006119A2">
        <w:rPr>
          <w:rFonts w:ascii="Verdana" w:hAnsi="Verdana"/>
          <w:b/>
          <w:sz w:val="20"/>
        </w:rPr>
        <w:t>Authority:</w:t>
      </w:r>
      <w:r w:rsidR="006E5946">
        <w:rPr>
          <w:rFonts w:ascii="Verdana" w:hAnsi="Verdana"/>
          <w:b/>
          <w:sz w:val="20"/>
        </w:rPr>
        <w:t xml:space="preserve"> United Kingdom</w:t>
      </w:r>
    </w:p>
    <w:p w14:paraId="39B96975" w14:textId="37EF2E75" w:rsidR="00C75A23" w:rsidRDefault="00C75A23" w:rsidP="00C75A23">
      <w:pPr>
        <w:pStyle w:val="BodyText"/>
        <w:jc w:val="left"/>
        <w:rPr>
          <w:rFonts w:ascii="Verdana" w:hAnsi="Verdana"/>
          <w:b/>
          <w:sz w:val="20"/>
        </w:rPr>
      </w:pPr>
      <w:r w:rsidRPr="003607CA">
        <w:rPr>
          <w:rFonts w:ascii="Verdana" w:hAnsi="Verdana"/>
          <w:b/>
          <w:sz w:val="20"/>
        </w:rPr>
        <w:t>Date:</w:t>
      </w:r>
      <w:r w:rsidR="006E5946">
        <w:rPr>
          <w:rFonts w:ascii="Verdana" w:hAnsi="Verdana"/>
          <w:b/>
          <w:sz w:val="20"/>
        </w:rPr>
        <w:t xml:space="preserve"> </w:t>
      </w:r>
      <w:r w:rsidR="00F85CFD">
        <w:rPr>
          <w:rFonts w:ascii="Verdana" w:hAnsi="Verdana"/>
          <w:b/>
          <w:sz w:val="20"/>
        </w:rPr>
        <w:t xml:space="preserve"> </w:t>
      </w:r>
      <w:r w:rsidR="00CB368F">
        <w:rPr>
          <w:rFonts w:ascii="Verdana" w:hAnsi="Verdana"/>
          <w:b/>
          <w:sz w:val="20"/>
        </w:rPr>
        <w:t xml:space="preserve"> </w:t>
      </w:r>
      <w:r w:rsidR="006C7B61">
        <w:rPr>
          <w:rFonts w:ascii="Verdana" w:hAnsi="Verdana"/>
          <w:b/>
          <w:sz w:val="20"/>
        </w:rPr>
        <w:t>November</w:t>
      </w:r>
      <w:r w:rsidR="006E5946">
        <w:rPr>
          <w:rFonts w:ascii="Verdana" w:hAnsi="Verdana"/>
          <w:b/>
          <w:sz w:val="20"/>
        </w:rPr>
        <w:t xml:space="preserve"> 2019</w:t>
      </w:r>
    </w:p>
    <w:p w14:paraId="39B96976" w14:textId="77777777" w:rsidR="00BD56EE" w:rsidRDefault="00BD56EE" w:rsidP="00763E35">
      <w:pPr>
        <w:spacing w:after="0"/>
        <w:rPr>
          <w:rFonts w:ascii="Verdana" w:hAnsi="Verdana"/>
          <w:b/>
          <w:bCs/>
          <w:sz w:val="20"/>
          <w:szCs w:val="20"/>
          <w:lang w:val="en-GB" w:eastAsia="en-GB"/>
        </w:rPr>
      </w:pPr>
    </w:p>
    <w:p w14:paraId="39B96977" w14:textId="77777777" w:rsidR="00C75A23" w:rsidRDefault="00C75A23" w:rsidP="00763E35">
      <w:pPr>
        <w:spacing w:after="0"/>
        <w:rPr>
          <w:rFonts w:ascii="Verdana" w:hAnsi="Verdana"/>
          <w:b/>
          <w:bCs/>
          <w:sz w:val="20"/>
          <w:szCs w:val="20"/>
          <w:lang w:val="en-GB" w:eastAsia="en-GB"/>
        </w:rPr>
      </w:pPr>
    </w:p>
    <w:p w14:paraId="39B96978" w14:textId="77777777" w:rsidR="00C75A23" w:rsidRDefault="00C75A23" w:rsidP="00763E35">
      <w:pPr>
        <w:spacing w:after="0"/>
        <w:rPr>
          <w:rFonts w:ascii="Verdana" w:hAnsi="Verdana"/>
          <w:b/>
          <w:bCs/>
          <w:sz w:val="20"/>
          <w:szCs w:val="20"/>
          <w:lang w:val="en-GB" w:eastAsia="en-GB"/>
        </w:rPr>
      </w:pPr>
    </w:p>
    <w:p w14:paraId="39B96979" w14:textId="77777777" w:rsidR="003D15D1" w:rsidRDefault="003D15D1" w:rsidP="00763E35">
      <w:pPr>
        <w:spacing w:after="0"/>
        <w:rPr>
          <w:rFonts w:ascii="Verdana" w:hAnsi="Verdana"/>
          <w:b/>
          <w:bCs/>
          <w:sz w:val="20"/>
          <w:szCs w:val="20"/>
          <w:lang w:val="en-GB" w:eastAsia="en-GB"/>
        </w:rPr>
      </w:pPr>
    </w:p>
    <w:p w14:paraId="39B9697A" w14:textId="77777777" w:rsidR="003D15D1" w:rsidRDefault="003D15D1" w:rsidP="00763E35">
      <w:pPr>
        <w:spacing w:after="0"/>
        <w:rPr>
          <w:rFonts w:ascii="Verdana" w:hAnsi="Verdana"/>
          <w:b/>
          <w:bCs/>
          <w:sz w:val="20"/>
          <w:szCs w:val="20"/>
          <w:lang w:val="en-GB" w:eastAsia="en-GB"/>
        </w:rPr>
      </w:pPr>
    </w:p>
    <w:p w14:paraId="39B9697B" w14:textId="77777777" w:rsidR="003D15D1" w:rsidRDefault="003D15D1" w:rsidP="00763E35">
      <w:pPr>
        <w:spacing w:after="0"/>
        <w:rPr>
          <w:rFonts w:ascii="Verdana" w:hAnsi="Verdana"/>
          <w:b/>
          <w:bCs/>
          <w:sz w:val="20"/>
          <w:szCs w:val="20"/>
          <w:lang w:val="en-GB" w:eastAsia="en-GB"/>
        </w:rPr>
      </w:pPr>
    </w:p>
    <w:p w14:paraId="39B9697C" w14:textId="77777777" w:rsidR="003D15D1" w:rsidRDefault="003D15D1" w:rsidP="00763E35">
      <w:pPr>
        <w:spacing w:after="0"/>
        <w:rPr>
          <w:rFonts w:ascii="Verdana" w:hAnsi="Verdana"/>
          <w:b/>
          <w:bCs/>
          <w:sz w:val="20"/>
          <w:szCs w:val="20"/>
          <w:lang w:val="en-GB" w:eastAsia="en-GB"/>
        </w:rPr>
      </w:pPr>
    </w:p>
    <w:p w14:paraId="39B9697D" w14:textId="77777777" w:rsidR="00EB2016" w:rsidRDefault="00EB2016" w:rsidP="00763E35">
      <w:pPr>
        <w:spacing w:after="0"/>
        <w:rPr>
          <w:rFonts w:ascii="Verdana" w:hAnsi="Verdana"/>
          <w:b/>
          <w:bCs/>
          <w:sz w:val="20"/>
          <w:szCs w:val="20"/>
          <w:lang w:val="en-GB" w:eastAsia="en-GB"/>
        </w:rPr>
      </w:pPr>
    </w:p>
    <w:p w14:paraId="39B9697E" w14:textId="77777777" w:rsidR="00EB2016" w:rsidRDefault="00EB2016" w:rsidP="00763E35">
      <w:pPr>
        <w:spacing w:after="0"/>
        <w:rPr>
          <w:rFonts w:ascii="Verdana" w:hAnsi="Verdana"/>
          <w:b/>
          <w:bCs/>
          <w:sz w:val="20"/>
          <w:szCs w:val="20"/>
          <w:lang w:val="en-GB" w:eastAsia="en-GB"/>
        </w:rPr>
      </w:pPr>
    </w:p>
    <w:p w14:paraId="39B9697F" w14:textId="77777777" w:rsidR="00C75A23" w:rsidRDefault="00C75A23" w:rsidP="00763E35">
      <w:pPr>
        <w:spacing w:after="0"/>
        <w:rPr>
          <w:rFonts w:ascii="Verdana" w:hAnsi="Verdana"/>
          <w:b/>
          <w:bCs/>
          <w:sz w:val="20"/>
          <w:szCs w:val="20"/>
          <w:lang w:val="en-GB" w:eastAsia="en-GB"/>
        </w:rPr>
      </w:pPr>
    </w:p>
    <w:p w14:paraId="39B96980" w14:textId="77777777" w:rsidR="00BD56EE" w:rsidRDefault="003D15D1" w:rsidP="003D15D1">
      <w:pPr>
        <w:spacing w:after="0"/>
        <w:jc w:val="center"/>
        <w:rPr>
          <w:rFonts w:ascii="Verdana" w:hAnsi="Verdana"/>
          <w:b/>
          <w:bCs/>
          <w:sz w:val="20"/>
          <w:szCs w:val="20"/>
          <w:lang w:val="en-GB" w:eastAsia="en-GB"/>
        </w:rPr>
      </w:pPr>
      <w:r>
        <w:rPr>
          <w:rFonts w:ascii="Verdana" w:hAnsi="Verdana"/>
          <w:b/>
          <w:bCs/>
          <w:sz w:val="20"/>
          <w:szCs w:val="20"/>
          <w:lang w:val="en-GB" w:eastAsia="en-GB"/>
        </w:rPr>
        <w:t xml:space="preserve">Cover </w:t>
      </w:r>
      <w:r w:rsidRPr="008B0CF8">
        <w:rPr>
          <w:rFonts w:ascii="Verdana" w:hAnsi="Verdana"/>
          <w:b/>
          <w:bCs/>
          <w:sz w:val="20"/>
          <w:szCs w:val="20"/>
          <w:lang w:val="en-GB" w:eastAsia="en-GB"/>
        </w:rPr>
        <w:t>Note</w:t>
      </w:r>
    </w:p>
    <w:p w14:paraId="39B96981" w14:textId="77777777" w:rsidR="00BD56EE" w:rsidRDefault="00BD56EE" w:rsidP="00763E35">
      <w:pPr>
        <w:spacing w:after="0"/>
        <w:rPr>
          <w:rFonts w:ascii="Verdana" w:hAnsi="Verdana"/>
          <w:b/>
          <w:bCs/>
          <w:sz w:val="20"/>
          <w:szCs w:val="20"/>
          <w:lang w:val="en-GB" w:eastAsia="en-GB"/>
        </w:rPr>
      </w:pPr>
    </w:p>
    <w:p w14:paraId="39B96982" w14:textId="77777777" w:rsidR="00BD56EE" w:rsidRDefault="00BD56EE" w:rsidP="00763E35">
      <w:pPr>
        <w:spacing w:after="0"/>
        <w:rPr>
          <w:rFonts w:ascii="Verdana" w:hAnsi="Verdana"/>
          <w:b/>
          <w:bCs/>
          <w:sz w:val="20"/>
          <w:szCs w:val="20"/>
          <w:lang w:val="en-GB" w:eastAsia="en-GB"/>
        </w:rPr>
      </w:pPr>
    </w:p>
    <w:p w14:paraId="39B96983" w14:textId="5B602D63" w:rsidR="003D15D1" w:rsidRDefault="000578F2" w:rsidP="003D15D1">
      <w:pPr>
        <w:spacing w:after="0"/>
        <w:jc w:val="both"/>
        <w:rPr>
          <w:rFonts w:ascii="Verdana" w:hAnsi="Verdana"/>
          <w:i/>
          <w:sz w:val="20"/>
          <w:szCs w:val="20"/>
          <w:lang w:val="en-GB" w:eastAsia="en-GB"/>
        </w:rPr>
      </w:pPr>
      <w:r>
        <w:rPr>
          <w:rFonts w:ascii="Verdana" w:hAnsi="Verdana"/>
          <w:i/>
          <w:sz w:val="20"/>
          <w:szCs w:val="20"/>
          <w:lang w:val="en-GB" w:eastAsia="en-GB"/>
        </w:rPr>
        <w:t>MCCPs</w:t>
      </w:r>
      <w:r w:rsidR="00747320" w:rsidRPr="00744235">
        <w:rPr>
          <w:rFonts w:ascii="Verdana" w:hAnsi="Verdana"/>
          <w:i/>
          <w:sz w:val="20"/>
          <w:szCs w:val="20"/>
          <w:lang w:val="en-GB" w:eastAsia="en-GB"/>
        </w:rPr>
        <w:t xml:space="preserve"> has been</w:t>
      </w:r>
      <w:r w:rsidR="006E5946" w:rsidRPr="00744235">
        <w:rPr>
          <w:rFonts w:ascii="Verdana" w:hAnsi="Verdana"/>
          <w:i/>
          <w:sz w:val="20"/>
          <w:szCs w:val="20"/>
          <w:lang w:val="en-GB" w:eastAsia="en-GB"/>
        </w:rPr>
        <w:t xml:space="preserve"> evaluat</w:t>
      </w:r>
      <w:r w:rsidR="00747320" w:rsidRPr="00744235">
        <w:rPr>
          <w:rFonts w:ascii="Verdana" w:hAnsi="Verdana"/>
          <w:i/>
          <w:sz w:val="20"/>
          <w:szCs w:val="20"/>
          <w:lang w:val="en-GB" w:eastAsia="en-GB"/>
        </w:rPr>
        <w:t>ed</w:t>
      </w:r>
      <w:r w:rsidR="006E5946" w:rsidRPr="00744235">
        <w:rPr>
          <w:rFonts w:ascii="Verdana" w:hAnsi="Verdana"/>
          <w:i/>
          <w:sz w:val="20"/>
          <w:szCs w:val="20"/>
          <w:lang w:val="en-GB" w:eastAsia="en-GB"/>
        </w:rPr>
        <w:t xml:space="preserve"> </w:t>
      </w:r>
      <w:r w:rsidR="00747320" w:rsidRPr="00744235">
        <w:rPr>
          <w:rFonts w:ascii="Verdana" w:hAnsi="Verdana"/>
          <w:i/>
          <w:sz w:val="20"/>
          <w:szCs w:val="20"/>
          <w:lang w:val="en-GB" w:eastAsia="en-GB"/>
        </w:rPr>
        <w:t xml:space="preserve">by the United </w:t>
      </w:r>
      <w:r w:rsidR="00AF3CB0" w:rsidRPr="00744235">
        <w:rPr>
          <w:rFonts w:ascii="Verdana" w:hAnsi="Verdana"/>
          <w:i/>
          <w:sz w:val="20"/>
          <w:szCs w:val="20"/>
          <w:lang w:val="en-GB" w:eastAsia="en-GB"/>
        </w:rPr>
        <w:t>Kingdom</w:t>
      </w:r>
      <w:r w:rsidR="00747320" w:rsidRPr="00744235">
        <w:rPr>
          <w:rFonts w:ascii="Verdana" w:hAnsi="Verdana"/>
          <w:i/>
          <w:sz w:val="20"/>
          <w:szCs w:val="20"/>
          <w:lang w:val="en-GB" w:eastAsia="en-GB"/>
        </w:rPr>
        <w:t xml:space="preserve"> </w:t>
      </w:r>
      <w:r w:rsidR="006E5946" w:rsidRPr="00744235">
        <w:rPr>
          <w:rFonts w:ascii="Verdana" w:hAnsi="Verdana"/>
          <w:i/>
          <w:sz w:val="20"/>
          <w:szCs w:val="20"/>
          <w:lang w:val="en-GB" w:eastAsia="en-GB"/>
        </w:rPr>
        <w:t>under the Community Rolling Action Plan (</w:t>
      </w:r>
      <w:proofErr w:type="spellStart"/>
      <w:r w:rsidR="006E5946" w:rsidRPr="00744235">
        <w:rPr>
          <w:rFonts w:ascii="Verdana" w:hAnsi="Verdana"/>
          <w:i/>
          <w:sz w:val="20"/>
          <w:szCs w:val="20"/>
          <w:lang w:val="en-GB" w:eastAsia="en-GB"/>
        </w:rPr>
        <w:t>CoRAP</w:t>
      </w:r>
      <w:proofErr w:type="spellEnd"/>
      <w:r w:rsidR="006E5946" w:rsidRPr="00744235">
        <w:rPr>
          <w:rFonts w:ascii="Verdana" w:hAnsi="Verdana"/>
          <w:i/>
          <w:sz w:val="20"/>
          <w:szCs w:val="20"/>
          <w:lang w:val="en-GB" w:eastAsia="en-GB"/>
        </w:rPr>
        <w:t xml:space="preserve">). </w:t>
      </w:r>
      <w:r w:rsidR="00747320" w:rsidRPr="00744235">
        <w:rPr>
          <w:rFonts w:ascii="Verdana" w:hAnsi="Verdana"/>
          <w:i/>
          <w:sz w:val="20"/>
          <w:szCs w:val="20"/>
          <w:lang w:val="en-GB" w:eastAsia="en-GB"/>
        </w:rPr>
        <w:t xml:space="preserve">The UK </w:t>
      </w:r>
      <w:r w:rsidR="006E5946" w:rsidRPr="00744235">
        <w:rPr>
          <w:rFonts w:ascii="Verdana" w:hAnsi="Verdana"/>
          <w:i/>
          <w:sz w:val="20"/>
          <w:szCs w:val="20"/>
          <w:lang w:val="en-GB" w:eastAsia="en-GB"/>
        </w:rPr>
        <w:t xml:space="preserve">has concluded that </w:t>
      </w:r>
      <w:r>
        <w:rPr>
          <w:rFonts w:ascii="Verdana" w:hAnsi="Verdana"/>
          <w:i/>
          <w:sz w:val="20"/>
          <w:szCs w:val="20"/>
          <w:lang w:val="en-GB" w:eastAsia="en-GB"/>
        </w:rPr>
        <w:t>MCCPs</w:t>
      </w:r>
      <w:r w:rsidR="00607BBD" w:rsidRPr="00744235">
        <w:rPr>
          <w:rFonts w:ascii="Verdana" w:hAnsi="Verdana"/>
          <w:i/>
          <w:sz w:val="20"/>
          <w:szCs w:val="20"/>
          <w:lang w:val="en-GB" w:eastAsia="en-GB"/>
        </w:rPr>
        <w:t xml:space="preserve"> </w:t>
      </w:r>
      <w:r w:rsidR="006E5946" w:rsidRPr="00744235">
        <w:rPr>
          <w:rFonts w:ascii="Verdana" w:hAnsi="Verdana"/>
          <w:i/>
          <w:sz w:val="20"/>
          <w:szCs w:val="20"/>
          <w:lang w:val="en-GB" w:eastAsia="en-GB"/>
        </w:rPr>
        <w:t xml:space="preserve">is PBT/vPvB.  The purpose of this RMO analysis is to summarise </w:t>
      </w:r>
      <w:r w:rsidR="00747320" w:rsidRPr="00744235">
        <w:rPr>
          <w:rFonts w:ascii="Verdana" w:hAnsi="Verdana"/>
          <w:i/>
          <w:sz w:val="20"/>
          <w:szCs w:val="20"/>
          <w:lang w:val="en-GB" w:eastAsia="en-GB"/>
        </w:rPr>
        <w:t xml:space="preserve">the available </w:t>
      </w:r>
      <w:r w:rsidR="006E5946" w:rsidRPr="00744235">
        <w:rPr>
          <w:rFonts w:ascii="Verdana" w:hAnsi="Verdana"/>
          <w:i/>
          <w:sz w:val="20"/>
          <w:szCs w:val="20"/>
          <w:lang w:val="en-GB" w:eastAsia="en-GB"/>
        </w:rPr>
        <w:t>evidence</w:t>
      </w:r>
      <w:r w:rsidR="00744235" w:rsidRPr="00744235">
        <w:rPr>
          <w:rFonts w:ascii="Verdana" w:hAnsi="Verdana"/>
          <w:i/>
          <w:sz w:val="20"/>
          <w:szCs w:val="20"/>
          <w:lang w:val="en-GB" w:eastAsia="en-GB"/>
        </w:rPr>
        <w:t xml:space="preserve"> </w:t>
      </w:r>
      <w:r w:rsidR="00747320" w:rsidRPr="00744235">
        <w:rPr>
          <w:rFonts w:ascii="Verdana" w:hAnsi="Verdana"/>
          <w:i/>
          <w:sz w:val="20"/>
          <w:szCs w:val="20"/>
          <w:lang w:val="en-GB" w:eastAsia="en-GB"/>
        </w:rPr>
        <w:t xml:space="preserve">relevant </w:t>
      </w:r>
      <w:r w:rsidR="006E5946" w:rsidRPr="00744235">
        <w:rPr>
          <w:rFonts w:ascii="Verdana" w:hAnsi="Verdana"/>
          <w:i/>
          <w:sz w:val="20"/>
          <w:szCs w:val="20"/>
          <w:lang w:val="en-GB" w:eastAsia="en-GB"/>
        </w:rPr>
        <w:t xml:space="preserve">to </w:t>
      </w:r>
      <w:r w:rsidR="00747320" w:rsidRPr="00744235">
        <w:rPr>
          <w:rFonts w:ascii="Verdana" w:hAnsi="Verdana"/>
          <w:i/>
          <w:sz w:val="20"/>
          <w:szCs w:val="20"/>
          <w:lang w:val="en-GB" w:eastAsia="en-GB"/>
        </w:rPr>
        <w:t xml:space="preserve">implementing any </w:t>
      </w:r>
      <w:r w:rsidR="006E5946" w:rsidRPr="00744235">
        <w:rPr>
          <w:rFonts w:ascii="Verdana" w:hAnsi="Verdana"/>
          <w:i/>
          <w:sz w:val="20"/>
          <w:szCs w:val="20"/>
          <w:lang w:val="en-GB" w:eastAsia="en-GB"/>
        </w:rPr>
        <w:t xml:space="preserve">additional regulatory actions that might be required to minimise </w:t>
      </w:r>
      <w:r>
        <w:rPr>
          <w:rFonts w:ascii="Verdana" w:hAnsi="Verdana"/>
          <w:i/>
          <w:sz w:val="20"/>
          <w:szCs w:val="20"/>
          <w:lang w:val="en-GB" w:eastAsia="en-GB"/>
        </w:rPr>
        <w:t>MCCPs</w:t>
      </w:r>
      <w:r w:rsidR="00607BBD" w:rsidRPr="00744235">
        <w:rPr>
          <w:rFonts w:ascii="Verdana" w:hAnsi="Verdana"/>
          <w:i/>
          <w:sz w:val="20"/>
          <w:szCs w:val="20"/>
          <w:lang w:val="en-GB" w:eastAsia="en-GB"/>
        </w:rPr>
        <w:t xml:space="preserve"> </w:t>
      </w:r>
      <w:r w:rsidR="006E5946" w:rsidRPr="00744235">
        <w:rPr>
          <w:rFonts w:ascii="Verdana" w:hAnsi="Verdana"/>
          <w:i/>
          <w:sz w:val="20"/>
          <w:szCs w:val="20"/>
          <w:lang w:val="en-GB" w:eastAsia="en-GB"/>
        </w:rPr>
        <w:t>releases to the environment</w:t>
      </w:r>
      <w:r w:rsidR="00747320" w:rsidRPr="00744235">
        <w:rPr>
          <w:rFonts w:ascii="Verdana" w:hAnsi="Verdana"/>
          <w:i/>
          <w:sz w:val="20"/>
          <w:szCs w:val="20"/>
          <w:lang w:val="en-GB" w:eastAsia="en-GB"/>
        </w:rPr>
        <w:t>,</w:t>
      </w:r>
      <w:r w:rsidR="006E5946" w:rsidRPr="00744235">
        <w:rPr>
          <w:rFonts w:ascii="Verdana" w:hAnsi="Verdana"/>
          <w:i/>
          <w:sz w:val="20"/>
          <w:szCs w:val="20"/>
          <w:lang w:val="en-GB" w:eastAsia="en-GB"/>
        </w:rPr>
        <w:t xml:space="preserve"> and </w:t>
      </w:r>
      <w:r w:rsidR="00CA04D0">
        <w:rPr>
          <w:rFonts w:ascii="Verdana" w:hAnsi="Verdana"/>
          <w:i/>
          <w:sz w:val="20"/>
          <w:szCs w:val="20"/>
          <w:lang w:val="en-GB" w:eastAsia="en-GB"/>
        </w:rPr>
        <w:t xml:space="preserve">to </w:t>
      </w:r>
      <w:r w:rsidR="00747320" w:rsidRPr="00744235">
        <w:rPr>
          <w:rFonts w:ascii="Verdana" w:hAnsi="Verdana"/>
          <w:i/>
          <w:sz w:val="20"/>
          <w:szCs w:val="20"/>
          <w:lang w:val="en-GB" w:eastAsia="en-GB"/>
        </w:rPr>
        <w:t xml:space="preserve">discuss </w:t>
      </w:r>
      <w:r w:rsidR="006E5946" w:rsidRPr="00744235">
        <w:rPr>
          <w:rFonts w:ascii="Verdana" w:hAnsi="Verdana"/>
          <w:i/>
          <w:sz w:val="20"/>
          <w:szCs w:val="20"/>
          <w:lang w:val="en-GB" w:eastAsia="en-GB"/>
        </w:rPr>
        <w:t xml:space="preserve">the form that </w:t>
      </w:r>
      <w:r w:rsidR="00A96619" w:rsidRPr="00744235">
        <w:rPr>
          <w:rFonts w:ascii="Verdana" w:hAnsi="Verdana"/>
          <w:i/>
          <w:sz w:val="20"/>
          <w:szCs w:val="20"/>
          <w:lang w:val="en-GB" w:eastAsia="en-GB"/>
        </w:rPr>
        <w:t>further</w:t>
      </w:r>
      <w:r w:rsidR="006E5946" w:rsidRPr="00744235">
        <w:rPr>
          <w:rFonts w:ascii="Verdana" w:hAnsi="Verdana"/>
          <w:i/>
          <w:sz w:val="20"/>
          <w:szCs w:val="20"/>
          <w:lang w:val="en-GB" w:eastAsia="en-GB"/>
        </w:rPr>
        <w:t xml:space="preserve"> regulatory action</w:t>
      </w:r>
      <w:r w:rsidR="00A96619" w:rsidRPr="00744235">
        <w:rPr>
          <w:rFonts w:ascii="Verdana" w:hAnsi="Verdana"/>
          <w:i/>
          <w:sz w:val="20"/>
          <w:szCs w:val="20"/>
          <w:lang w:val="en-GB" w:eastAsia="en-GB"/>
        </w:rPr>
        <w:t>s</w:t>
      </w:r>
      <w:r w:rsidR="006E5946" w:rsidRPr="00744235">
        <w:rPr>
          <w:rFonts w:ascii="Verdana" w:hAnsi="Verdana"/>
          <w:i/>
          <w:sz w:val="20"/>
          <w:szCs w:val="20"/>
          <w:lang w:val="en-GB" w:eastAsia="en-GB"/>
        </w:rPr>
        <w:t xml:space="preserve"> could take.</w:t>
      </w:r>
    </w:p>
    <w:p w14:paraId="39B96984" w14:textId="77777777" w:rsidR="00D74ADF" w:rsidRDefault="00D74ADF" w:rsidP="003D15D1">
      <w:pPr>
        <w:spacing w:after="0"/>
        <w:jc w:val="both"/>
        <w:rPr>
          <w:rFonts w:ascii="Verdana" w:hAnsi="Verdana"/>
          <w:i/>
          <w:sz w:val="20"/>
          <w:szCs w:val="20"/>
          <w:lang w:val="en-GB" w:eastAsia="en-GB"/>
        </w:rPr>
      </w:pPr>
    </w:p>
    <w:p w14:paraId="39B96986" w14:textId="77777777" w:rsidR="003D15D1" w:rsidRDefault="003D15D1" w:rsidP="00763E35">
      <w:pPr>
        <w:spacing w:after="0"/>
        <w:rPr>
          <w:rFonts w:ascii="Verdana" w:hAnsi="Verdana"/>
          <w:b/>
          <w:bCs/>
          <w:sz w:val="20"/>
          <w:szCs w:val="20"/>
          <w:lang w:val="en-GB" w:eastAsia="en-GB"/>
        </w:rPr>
      </w:pPr>
    </w:p>
    <w:p w14:paraId="39B96988" w14:textId="77777777" w:rsidR="00BD56EE" w:rsidRDefault="00BD56EE" w:rsidP="00763E35">
      <w:pPr>
        <w:spacing w:after="0"/>
        <w:rPr>
          <w:rFonts w:ascii="Verdana" w:hAnsi="Verdana"/>
          <w:b/>
          <w:bCs/>
          <w:sz w:val="20"/>
          <w:szCs w:val="20"/>
          <w:lang w:val="en-GB" w:eastAsia="en-GB"/>
        </w:rPr>
      </w:pPr>
    </w:p>
    <w:p w14:paraId="39B96989" w14:textId="77777777" w:rsidR="00CE17CC" w:rsidRDefault="00CE17CC" w:rsidP="003D15D1">
      <w:pPr>
        <w:spacing w:after="0"/>
        <w:jc w:val="both"/>
        <w:rPr>
          <w:rFonts w:ascii="Verdana" w:hAnsi="Verdana"/>
          <w:b/>
          <w:bCs/>
          <w:sz w:val="20"/>
          <w:szCs w:val="20"/>
          <w:lang w:val="en-GB" w:eastAsia="en-GB"/>
        </w:rPr>
      </w:pPr>
    </w:p>
    <w:p w14:paraId="39B9698A" w14:textId="77777777" w:rsidR="003D15D1" w:rsidRDefault="003D15D1" w:rsidP="003D15D1">
      <w:pPr>
        <w:spacing w:after="0"/>
        <w:jc w:val="both"/>
        <w:rPr>
          <w:rFonts w:ascii="Verdana" w:hAnsi="Verdana"/>
          <w:b/>
          <w:bCs/>
          <w:sz w:val="20"/>
          <w:szCs w:val="20"/>
          <w:lang w:val="en-GB" w:eastAsia="en-GB"/>
        </w:rPr>
      </w:pPr>
    </w:p>
    <w:p w14:paraId="39B9698B" w14:textId="77777777" w:rsidR="00CE17CC" w:rsidRDefault="00CE17CC" w:rsidP="00E9111C">
      <w:pPr>
        <w:spacing w:after="0"/>
        <w:rPr>
          <w:rFonts w:ascii="Verdana" w:hAnsi="Verdana"/>
          <w:b/>
          <w:bCs/>
          <w:sz w:val="20"/>
          <w:szCs w:val="20"/>
          <w:lang w:val="en-GB" w:eastAsia="en-GB"/>
        </w:rPr>
        <w:sectPr w:rsidR="00CE17CC" w:rsidSect="00EA772F">
          <w:headerReference w:type="default" r:id="rId15"/>
          <w:footerReference w:type="default" r:id="rId16"/>
          <w:headerReference w:type="first" r:id="rId17"/>
          <w:footerReference w:type="first" r:id="rId18"/>
          <w:pgSz w:w="11906" w:h="16838" w:code="9"/>
          <w:pgMar w:top="1418" w:right="1797" w:bottom="1134" w:left="1797" w:header="680" w:footer="567" w:gutter="0"/>
          <w:cols w:space="708"/>
          <w:docGrid w:linePitch="360"/>
        </w:sectPr>
      </w:pPr>
    </w:p>
    <w:p w14:paraId="39B9698C" w14:textId="77777777" w:rsidR="00EB2016" w:rsidRDefault="00EB2016" w:rsidP="00EB2016">
      <w:pPr>
        <w:jc w:val="center"/>
        <w:rPr>
          <w:rFonts w:ascii="Verdana" w:hAnsi="Verdana"/>
          <w:b/>
          <w:iCs/>
          <w:sz w:val="20"/>
          <w:szCs w:val="20"/>
        </w:rPr>
      </w:pPr>
      <w:bookmarkStart w:id="0" w:name="_identity_of_the_"/>
      <w:bookmarkStart w:id="1" w:name="_Toc285710598"/>
      <w:bookmarkStart w:id="2" w:name="_Toc308015310"/>
      <w:bookmarkStart w:id="3" w:name="_Toc387770099"/>
      <w:bookmarkEnd w:id="0"/>
    </w:p>
    <w:p w14:paraId="39B9698D" w14:textId="77777777" w:rsidR="00EB2016" w:rsidRPr="00D95702" w:rsidRDefault="00EB2016" w:rsidP="00EB2016">
      <w:pPr>
        <w:jc w:val="center"/>
        <w:rPr>
          <w:rFonts w:ascii="Verdana" w:hAnsi="Verdana"/>
          <w:b/>
          <w:iCs/>
          <w:sz w:val="20"/>
          <w:szCs w:val="20"/>
        </w:rPr>
      </w:pPr>
      <w:r w:rsidRPr="00D95702">
        <w:rPr>
          <w:rFonts w:ascii="Verdana" w:hAnsi="Verdana"/>
          <w:b/>
          <w:iCs/>
          <w:sz w:val="20"/>
          <w:szCs w:val="20"/>
        </w:rPr>
        <w:t>DISCLAIMER</w:t>
      </w:r>
    </w:p>
    <w:p w14:paraId="39B9698E" w14:textId="77777777" w:rsidR="00EB2016" w:rsidRDefault="00EB2016" w:rsidP="00EB2016">
      <w:pPr>
        <w:pStyle w:val="BodyText"/>
        <w:rPr>
          <w:rStyle w:val="Strong"/>
          <w:rFonts w:ascii="Verdana" w:hAnsi="Verdana"/>
          <w:b w:val="0"/>
          <w:sz w:val="20"/>
        </w:rPr>
      </w:pPr>
    </w:p>
    <w:p w14:paraId="39B9698F" w14:textId="4660072D" w:rsidR="00EB2016" w:rsidRDefault="00EB2016" w:rsidP="00EB2016">
      <w:pPr>
        <w:pStyle w:val="Heading1"/>
        <w:numPr>
          <w:ilvl w:val="0"/>
          <w:numId w:val="0"/>
        </w:numPr>
        <w:tabs>
          <w:tab w:val="clear" w:pos="839"/>
          <w:tab w:val="left" w:pos="0"/>
        </w:tabs>
        <w:jc w:val="both"/>
        <w:rPr>
          <w:rStyle w:val="Strong"/>
          <w:rFonts w:ascii="Verdana" w:hAnsi="Verdana"/>
          <w:sz w:val="20"/>
        </w:rPr>
      </w:pPr>
    </w:p>
    <w:p w14:paraId="687DD83D" w14:textId="77777777" w:rsidR="00853DDE" w:rsidRDefault="00853DDE" w:rsidP="006C44FA">
      <w:pPr>
        <w:pStyle w:val="BodyText"/>
        <w:spacing w:after="0"/>
        <w:rPr>
          <w:rFonts w:ascii="Verdana" w:hAnsi="Verdana"/>
          <w:bCs/>
          <w:sz w:val="20"/>
          <w:lang w:eastAsia="en-GB"/>
        </w:rPr>
      </w:pPr>
      <w:r w:rsidRPr="00853DDE">
        <w:rPr>
          <w:rFonts w:ascii="Verdana" w:hAnsi="Verdana"/>
          <w:bCs/>
          <w:sz w:val="20"/>
          <w:lang w:eastAsia="en-GB"/>
        </w:rPr>
        <w:t xml:space="preserve">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 </w:t>
      </w:r>
    </w:p>
    <w:p w14:paraId="55ECD728" w14:textId="77777777" w:rsidR="00853DDE" w:rsidRDefault="00853DDE" w:rsidP="006C44FA">
      <w:pPr>
        <w:pStyle w:val="BodyText"/>
        <w:spacing w:after="0"/>
        <w:rPr>
          <w:rFonts w:ascii="Verdana" w:hAnsi="Verdana"/>
          <w:bCs/>
          <w:sz w:val="20"/>
          <w:lang w:eastAsia="en-GB"/>
        </w:rPr>
      </w:pPr>
    </w:p>
    <w:p w14:paraId="39B96995" w14:textId="7A0BC4EA" w:rsidR="00E911C1" w:rsidRDefault="00E911C1" w:rsidP="00EB2016">
      <w:pPr>
        <w:pStyle w:val="BodyText"/>
        <w:rPr>
          <w:rFonts w:ascii="Verdana" w:hAnsi="Verdana"/>
          <w:sz w:val="20"/>
        </w:rPr>
      </w:pPr>
    </w:p>
    <w:p w14:paraId="4D4CEAFA" w14:textId="77777777" w:rsidR="00E911C1" w:rsidRPr="00E911C1" w:rsidRDefault="00E911C1" w:rsidP="00E911C1">
      <w:pPr>
        <w:rPr>
          <w:lang w:val="en-GB"/>
        </w:rPr>
      </w:pPr>
    </w:p>
    <w:p w14:paraId="308E4B95" w14:textId="08CC7D83" w:rsidR="00E911C1" w:rsidRDefault="00E911C1" w:rsidP="00E911C1">
      <w:pPr>
        <w:tabs>
          <w:tab w:val="left" w:pos="3390"/>
        </w:tabs>
        <w:rPr>
          <w:lang w:val="en-GB"/>
        </w:rPr>
      </w:pPr>
      <w:r>
        <w:rPr>
          <w:lang w:val="en-GB"/>
        </w:rPr>
        <w:tab/>
      </w:r>
    </w:p>
    <w:p w14:paraId="077B0C27" w14:textId="2C7B1474" w:rsidR="00F25AC6" w:rsidRPr="00E911C1" w:rsidRDefault="00E911C1" w:rsidP="00E911C1">
      <w:pPr>
        <w:tabs>
          <w:tab w:val="left" w:pos="3390"/>
        </w:tabs>
        <w:rPr>
          <w:lang w:val="en-GB"/>
        </w:rPr>
        <w:sectPr w:rsidR="00F25AC6" w:rsidRPr="00E911C1" w:rsidSect="00DE57D6">
          <w:footerReference w:type="default" r:id="rId19"/>
          <w:headerReference w:type="first" r:id="rId20"/>
          <w:pgSz w:w="11906" w:h="16838" w:code="9"/>
          <w:pgMar w:top="1418" w:right="1797" w:bottom="1134" w:left="1797" w:header="680" w:footer="567" w:gutter="0"/>
          <w:cols w:space="708"/>
          <w:docGrid w:linePitch="360"/>
        </w:sectPr>
      </w:pPr>
      <w:r>
        <w:rPr>
          <w:lang w:val="en-GB"/>
        </w:rPr>
        <w:tab/>
      </w:r>
    </w:p>
    <w:p w14:paraId="39B96996" w14:textId="77777777" w:rsidR="0020328D" w:rsidRPr="0020328D" w:rsidRDefault="0020328D" w:rsidP="005E6BF3">
      <w:pPr>
        <w:pStyle w:val="Heading1"/>
        <w:tabs>
          <w:tab w:val="clear" w:pos="839"/>
          <w:tab w:val="clear" w:pos="1077"/>
          <w:tab w:val="left" w:pos="360"/>
        </w:tabs>
        <w:ind w:left="360" w:hanging="360"/>
        <w:rPr>
          <w:rFonts w:ascii="Verdana" w:hAnsi="Verdana"/>
        </w:rPr>
      </w:pPr>
      <w:r w:rsidRPr="0020328D">
        <w:rPr>
          <w:rFonts w:ascii="Verdana" w:hAnsi="Verdana"/>
        </w:rPr>
        <w:lastRenderedPageBreak/>
        <w:t>identity of the substance</w:t>
      </w:r>
      <w:bookmarkEnd w:id="1"/>
      <w:bookmarkEnd w:id="2"/>
      <w:bookmarkEnd w:id="3"/>
      <w:r w:rsidRPr="0020328D">
        <w:rPr>
          <w:rFonts w:ascii="Verdana" w:hAnsi="Verdana"/>
        </w:rPr>
        <w:t xml:space="preserve"> </w:t>
      </w:r>
    </w:p>
    <w:p w14:paraId="39B96997" w14:textId="77777777" w:rsidR="0020328D" w:rsidRPr="0020328D" w:rsidRDefault="00620E9E" w:rsidP="005E6BF3">
      <w:pPr>
        <w:pStyle w:val="Heading2"/>
        <w:tabs>
          <w:tab w:val="clear" w:pos="839"/>
          <w:tab w:val="num" w:pos="540"/>
        </w:tabs>
        <w:spacing w:before="120" w:after="120"/>
        <w:ind w:left="540" w:hanging="540"/>
      </w:pPr>
      <w:bookmarkStart w:id="4" w:name="_Toc285710599"/>
      <w:bookmarkStart w:id="5" w:name="_Toc308015311"/>
      <w:bookmarkStart w:id="6" w:name="_Toc387770100"/>
      <w:r>
        <w:t>O</w:t>
      </w:r>
      <w:r w:rsidR="0020328D" w:rsidRPr="0020328D">
        <w:t>ther identifiers of the substance</w:t>
      </w:r>
      <w:bookmarkEnd w:id="4"/>
      <w:bookmarkEnd w:id="5"/>
      <w:bookmarkEnd w:id="6"/>
    </w:p>
    <w:p w14:paraId="39B96998" w14:textId="77777777" w:rsidR="0020328D" w:rsidRDefault="0020328D" w:rsidP="0020328D">
      <w:pPr>
        <w:pStyle w:val="Caption"/>
        <w:tabs>
          <w:tab w:val="left" w:pos="960"/>
        </w:tabs>
        <w:ind w:left="0"/>
        <w:rPr>
          <w:rFonts w:ascii="Verdana" w:hAnsi="Verdana"/>
          <w:sz w:val="20"/>
        </w:rPr>
      </w:pPr>
      <w:bookmarkStart w:id="7" w:name="_Toc202255643"/>
      <w:bookmarkStart w:id="8" w:name="_Toc261867769"/>
    </w:p>
    <w:p w14:paraId="39B96999" w14:textId="6D4F354D" w:rsidR="0020328D" w:rsidRDefault="00E911C1" w:rsidP="00E911C1">
      <w:pPr>
        <w:pStyle w:val="Caption"/>
        <w:rPr>
          <w:rFonts w:ascii="Verdana" w:hAnsi="Verdana"/>
          <w:b/>
          <w:sz w:val="20"/>
        </w:rPr>
      </w:pPr>
      <w:r w:rsidRPr="005B26B9">
        <w:rPr>
          <w:rFonts w:ascii="Verdana" w:hAnsi="Verdana"/>
          <w:b/>
          <w:sz w:val="20"/>
        </w:rPr>
        <w:t xml:space="preserve">Table </w:t>
      </w:r>
      <w:r w:rsidRPr="005B26B9">
        <w:rPr>
          <w:rFonts w:ascii="Verdana" w:hAnsi="Verdana"/>
          <w:b/>
          <w:sz w:val="20"/>
        </w:rPr>
        <w:fldChar w:fldCharType="begin"/>
      </w:r>
      <w:r w:rsidRPr="005B26B9">
        <w:rPr>
          <w:rFonts w:ascii="Verdana" w:hAnsi="Verdana"/>
          <w:b/>
          <w:sz w:val="20"/>
        </w:rPr>
        <w:instrText xml:space="preserve"> SEQ Table \* ARABIC </w:instrText>
      </w:r>
      <w:r w:rsidRPr="005B26B9">
        <w:rPr>
          <w:rFonts w:ascii="Verdana" w:hAnsi="Verdana"/>
          <w:b/>
          <w:sz w:val="20"/>
        </w:rPr>
        <w:fldChar w:fldCharType="separate"/>
      </w:r>
      <w:r w:rsidR="005C355A">
        <w:rPr>
          <w:rFonts w:ascii="Verdana" w:hAnsi="Verdana"/>
          <w:b/>
          <w:noProof/>
          <w:sz w:val="20"/>
        </w:rPr>
        <w:t>1</w:t>
      </w:r>
      <w:r w:rsidRPr="005B26B9">
        <w:rPr>
          <w:rFonts w:ascii="Verdana" w:hAnsi="Verdana"/>
          <w:b/>
          <w:sz w:val="20"/>
        </w:rPr>
        <w:fldChar w:fldCharType="end"/>
      </w:r>
      <w:r w:rsidR="00640942" w:rsidRPr="005B26B9">
        <w:rPr>
          <w:rFonts w:ascii="Verdana" w:hAnsi="Verdana"/>
          <w:b/>
          <w:sz w:val="20"/>
        </w:rPr>
        <w:t>:</w:t>
      </w:r>
      <w:r w:rsidR="0020328D" w:rsidRPr="00353CCB">
        <w:rPr>
          <w:rFonts w:ascii="Verdana" w:hAnsi="Verdana"/>
          <w:b/>
          <w:sz w:val="20"/>
        </w:rPr>
        <w:t xml:space="preserve"> </w:t>
      </w:r>
      <w:bookmarkStart w:id="9" w:name="d0e102"/>
      <w:bookmarkEnd w:id="7"/>
      <w:bookmarkEnd w:id="8"/>
      <w:r w:rsidR="00DC49AE">
        <w:rPr>
          <w:rFonts w:ascii="Verdana" w:hAnsi="Verdana"/>
          <w:b/>
          <w:sz w:val="20"/>
        </w:rPr>
        <w:t xml:space="preserve">Other </w:t>
      </w:r>
      <w:r w:rsidR="00DC49AE" w:rsidRPr="00353CCB">
        <w:rPr>
          <w:rFonts w:ascii="Verdana" w:hAnsi="Verdana"/>
          <w:b/>
          <w:sz w:val="20"/>
        </w:rPr>
        <w:t>Substance identi</w:t>
      </w:r>
      <w:r w:rsidR="00DC49AE">
        <w:rPr>
          <w:rFonts w:ascii="Verdana" w:hAnsi="Verdana"/>
          <w:b/>
          <w:sz w:val="20"/>
        </w:rPr>
        <w:t>fiers</w:t>
      </w:r>
    </w:p>
    <w:tbl>
      <w:tblPr>
        <w:tblW w:w="8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48"/>
        <w:gridCol w:w="4845"/>
      </w:tblGrid>
      <w:tr w:rsidR="00DC49AE" w:rsidRPr="0020328D" w14:paraId="39B9699C" w14:textId="77777777" w:rsidTr="00C11D81">
        <w:trPr>
          <w:trHeight w:val="459"/>
          <w:jc w:val="center"/>
        </w:trPr>
        <w:tc>
          <w:tcPr>
            <w:tcW w:w="3548" w:type="dxa"/>
            <w:tcMar>
              <w:top w:w="40" w:type="dxa"/>
              <w:left w:w="40" w:type="dxa"/>
              <w:bottom w:w="40" w:type="dxa"/>
              <w:right w:w="40" w:type="dxa"/>
            </w:tcMar>
            <w:vAlign w:val="center"/>
          </w:tcPr>
          <w:bookmarkEnd w:id="9"/>
          <w:p w14:paraId="39B9699A" w14:textId="77777777" w:rsidR="00DC49AE" w:rsidRPr="0020328D" w:rsidRDefault="00DC49AE" w:rsidP="00DC49AE">
            <w:pPr>
              <w:pStyle w:val="Tabletext"/>
              <w:spacing w:before="0" w:after="0"/>
              <w:rPr>
                <w:rFonts w:ascii="Verdana" w:hAnsi="Verdana"/>
                <w:b/>
                <w:bCs/>
              </w:rPr>
            </w:pPr>
            <w:r w:rsidRPr="0020328D">
              <w:rPr>
                <w:rFonts w:ascii="Verdana" w:hAnsi="Verdana"/>
                <w:b/>
                <w:bCs/>
              </w:rPr>
              <w:t>EC name</w:t>
            </w:r>
            <w:r>
              <w:rPr>
                <w:rFonts w:ascii="Verdana" w:hAnsi="Verdana"/>
                <w:b/>
                <w:bCs/>
              </w:rPr>
              <w:t xml:space="preserve"> (public)</w:t>
            </w:r>
            <w:r w:rsidRPr="0020328D">
              <w:rPr>
                <w:rFonts w:ascii="Verdana" w:hAnsi="Verdana"/>
                <w:b/>
                <w:bCs/>
              </w:rPr>
              <w:t>:</w:t>
            </w:r>
          </w:p>
        </w:tc>
        <w:tc>
          <w:tcPr>
            <w:tcW w:w="4845" w:type="dxa"/>
            <w:shd w:val="clear" w:color="auto" w:fill="auto"/>
            <w:tcMar>
              <w:top w:w="40" w:type="dxa"/>
              <w:left w:w="40" w:type="dxa"/>
              <w:bottom w:w="40" w:type="dxa"/>
              <w:right w:w="40" w:type="dxa"/>
            </w:tcMar>
            <w:vAlign w:val="center"/>
          </w:tcPr>
          <w:p w14:paraId="39B9699B" w14:textId="4F062179" w:rsidR="00DC49AE" w:rsidRPr="00F13539" w:rsidRDefault="00A96619" w:rsidP="00273A74">
            <w:pPr>
              <w:spacing w:after="0"/>
              <w:jc w:val="center"/>
              <w:rPr>
                <w:rFonts w:ascii="Verdana" w:hAnsi="Verdana"/>
                <w:sz w:val="20"/>
                <w:szCs w:val="20"/>
              </w:rPr>
            </w:pPr>
            <w:r w:rsidRPr="00A96619">
              <w:rPr>
                <w:rFonts w:ascii="Verdana" w:hAnsi="Verdana"/>
                <w:sz w:val="20"/>
                <w:szCs w:val="22"/>
                <w:lang w:val="en-GB" w:eastAsia="en-GB"/>
              </w:rPr>
              <w:t>Medium-chain chlorinated paraffins (</w:t>
            </w:r>
            <w:r w:rsidR="000578F2">
              <w:rPr>
                <w:rFonts w:ascii="Verdana" w:hAnsi="Verdana"/>
                <w:sz w:val="20"/>
                <w:szCs w:val="22"/>
                <w:lang w:val="en-GB" w:eastAsia="en-GB"/>
              </w:rPr>
              <w:t>MCCPs</w:t>
            </w:r>
            <w:r w:rsidRPr="00A96619">
              <w:rPr>
                <w:rFonts w:ascii="Verdana" w:hAnsi="Verdana"/>
                <w:sz w:val="20"/>
                <w:szCs w:val="22"/>
                <w:lang w:val="en-GB" w:eastAsia="en-GB"/>
              </w:rPr>
              <w:t>)</w:t>
            </w:r>
          </w:p>
        </w:tc>
      </w:tr>
      <w:tr w:rsidR="00DC49AE" w:rsidRPr="0020328D" w14:paraId="39B9699F" w14:textId="77777777" w:rsidTr="00C11D81">
        <w:trPr>
          <w:trHeight w:val="449"/>
          <w:jc w:val="center"/>
        </w:trPr>
        <w:tc>
          <w:tcPr>
            <w:tcW w:w="3548" w:type="dxa"/>
            <w:tcMar>
              <w:top w:w="40" w:type="dxa"/>
              <w:left w:w="40" w:type="dxa"/>
              <w:bottom w:w="40" w:type="dxa"/>
              <w:right w:w="40" w:type="dxa"/>
            </w:tcMar>
            <w:vAlign w:val="center"/>
          </w:tcPr>
          <w:p w14:paraId="39B9699D" w14:textId="77777777" w:rsidR="00DC49AE" w:rsidRPr="0020328D" w:rsidRDefault="00DC49AE" w:rsidP="00DC49AE">
            <w:pPr>
              <w:pStyle w:val="Tabletext"/>
              <w:spacing w:before="0" w:after="0"/>
              <w:rPr>
                <w:rFonts w:ascii="Verdana" w:hAnsi="Verdana"/>
                <w:b/>
                <w:bCs/>
              </w:rPr>
            </w:pPr>
            <w:r w:rsidRPr="00283F77">
              <w:rPr>
                <w:rFonts w:ascii="Verdana" w:hAnsi="Verdana"/>
                <w:b/>
                <w:bCs/>
              </w:rPr>
              <w:t>IUPAC name (public):</w:t>
            </w:r>
          </w:p>
        </w:tc>
        <w:tc>
          <w:tcPr>
            <w:tcW w:w="4845" w:type="dxa"/>
            <w:shd w:val="clear" w:color="auto" w:fill="auto"/>
            <w:tcMar>
              <w:top w:w="40" w:type="dxa"/>
              <w:left w:w="40" w:type="dxa"/>
              <w:bottom w:w="40" w:type="dxa"/>
              <w:right w:w="40" w:type="dxa"/>
            </w:tcMar>
            <w:vAlign w:val="center"/>
          </w:tcPr>
          <w:p w14:paraId="39B9699E" w14:textId="2E945A5D" w:rsidR="00DC49AE" w:rsidRPr="00F13539" w:rsidRDefault="00283F77" w:rsidP="00C11D81">
            <w:pPr>
              <w:spacing w:after="0"/>
              <w:jc w:val="center"/>
              <w:rPr>
                <w:rFonts w:ascii="Verdana" w:hAnsi="Verdana"/>
                <w:sz w:val="20"/>
                <w:szCs w:val="20"/>
              </w:rPr>
            </w:pPr>
            <w:r w:rsidRPr="00283F77">
              <w:rPr>
                <w:rFonts w:ascii="Verdana" w:hAnsi="Verdana"/>
                <w:sz w:val="20"/>
                <w:szCs w:val="20"/>
              </w:rPr>
              <w:t>Alkanes, C</w:t>
            </w:r>
            <w:r w:rsidRPr="00C11D81">
              <w:rPr>
                <w:rFonts w:ascii="Verdana" w:hAnsi="Verdana"/>
                <w:sz w:val="20"/>
                <w:szCs w:val="20"/>
                <w:vertAlign w:val="subscript"/>
              </w:rPr>
              <w:t>14-17</w:t>
            </w:r>
            <w:r w:rsidRPr="00283F77">
              <w:rPr>
                <w:rFonts w:ascii="Verdana" w:hAnsi="Verdana"/>
                <w:sz w:val="20"/>
                <w:szCs w:val="20"/>
              </w:rPr>
              <w:t>, chloro</w:t>
            </w:r>
          </w:p>
        </w:tc>
      </w:tr>
      <w:tr w:rsidR="00DC49AE" w:rsidRPr="0020328D" w14:paraId="39B969A2" w14:textId="77777777" w:rsidTr="00C11D81">
        <w:trPr>
          <w:jc w:val="center"/>
        </w:trPr>
        <w:tc>
          <w:tcPr>
            <w:tcW w:w="3548" w:type="dxa"/>
            <w:tcMar>
              <w:top w:w="40" w:type="dxa"/>
              <w:left w:w="40" w:type="dxa"/>
              <w:bottom w:w="40" w:type="dxa"/>
              <w:right w:w="40" w:type="dxa"/>
            </w:tcMar>
            <w:vAlign w:val="center"/>
          </w:tcPr>
          <w:p w14:paraId="39B969A0" w14:textId="77777777" w:rsidR="00DC49AE" w:rsidRPr="0020328D" w:rsidRDefault="00DC49AE" w:rsidP="00DC49AE">
            <w:pPr>
              <w:pStyle w:val="Tabletext"/>
              <w:spacing w:before="0" w:after="0"/>
              <w:rPr>
                <w:rFonts w:ascii="Verdana" w:hAnsi="Verdana"/>
                <w:b/>
                <w:bCs/>
              </w:rPr>
            </w:pPr>
            <w:r w:rsidRPr="0020328D">
              <w:rPr>
                <w:rFonts w:ascii="Verdana" w:hAnsi="Verdana"/>
                <w:b/>
                <w:bCs/>
              </w:rPr>
              <w:t>Index number in Annex VI of the CLP Regulation</w:t>
            </w:r>
            <w:r>
              <w:rPr>
                <w:rFonts w:ascii="Verdana" w:hAnsi="Verdana"/>
                <w:b/>
                <w:bCs/>
              </w:rPr>
              <w:t>:</w:t>
            </w:r>
          </w:p>
        </w:tc>
        <w:tc>
          <w:tcPr>
            <w:tcW w:w="4845" w:type="dxa"/>
            <w:shd w:val="clear" w:color="auto" w:fill="auto"/>
            <w:tcMar>
              <w:top w:w="40" w:type="dxa"/>
              <w:left w:w="40" w:type="dxa"/>
              <w:bottom w:w="40" w:type="dxa"/>
              <w:right w:w="40" w:type="dxa"/>
            </w:tcMar>
            <w:vAlign w:val="center"/>
          </w:tcPr>
          <w:p w14:paraId="39B969A1" w14:textId="07A7D5CC" w:rsidR="00DC49AE" w:rsidRPr="00F13539" w:rsidRDefault="00A96619" w:rsidP="00C11D81">
            <w:pPr>
              <w:spacing w:after="0"/>
              <w:jc w:val="center"/>
              <w:rPr>
                <w:rFonts w:ascii="Verdana" w:hAnsi="Verdana"/>
                <w:sz w:val="20"/>
                <w:szCs w:val="20"/>
              </w:rPr>
            </w:pPr>
            <w:r w:rsidRPr="00A96619">
              <w:rPr>
                <w:rFonts w:ascii="Verdana" w:hAnsi="Verdana"/>
                <w:sz w:val="20"/>
                <w:szCs w:val="22"/>
                <w:lang w:val="en-GB" w:eastAsia="en-GB"/>
              </w:rPr>
              <w:t>602-095-00-X</w:t>
            </w:r>
          </w:p>
        </w:tc>
      </w:tr>
      <w:tr w:rsidR="00DC49AE" w:rsidRPr="0020328D" w14:paraId="39B969A5" w14:textId="77777777" w:rsidTr="00C11D81">
        <w:trPr>
          <w:trHeight w:val="423"/>
          <w:jc w:val="center"/>
        </w:trPr>
        <w:tc>
          <w:tcPr>
            <w:tcW w:w="3548" w:type="dxa"/>
            <w:tcMar>
              <w:top w:w="40" w:type="dxa"/>
              <w:left w:w="40" w:type="dxa"/>
              <w:bottom w:w="40" w:type="dxa"/>
              <w:right w:w="40" w:type="dxa"/>
            </w:tcMar>
            <w:vAlign w:val="center"/>
          </w:tcPr>
          <w:p w14:paraId="39B969A3" w14:textId="77777777" w:rsidR="00DC49AE" w:rsidRPr="0020328D" w:rsidRDefault="00DC49AE" w:rsidP="00DC49AE">
            <w:pPr>
              <w:pStyle w:val="Tabletext"/>
              <w:spacing w:before="0" w:after="0"/>
              <w:rPr>
                <w:rFonts w:ascii="Verdana" w:hAnsi="Verdana"/>
                <w:b/>
                <w:bCs/>
              </w:rPr>
            </w:pPr>
            <w:r w:rsidRPr="0020328D">
              <w:rPr>
                <w:rFonts w:ascii="Verdana" w:hAnsi="Verdana"/>
                <w:b/>
                <w:bCs/>
              </w:rPr>
              <w:t>Molecular formula:</w:t>
            </w:r>
          </w:p>
        </w:tc>
        <w:tc>
          <w:tcPr>
            <w:tcW w:w="4845" w:type="dxa"/>
            <w:shd w:val="clear" w:color="auto" w:fill="auto"/>
            <w:tcMar>
              <w:top w:w="40" w:type="dxa"/>
              <w:left w:w="40" w:type="dxa"/>
              <w:bottom w:w="40" w:type="dxa"/>
              <w:right w:w="40" w:type="dxa"/>
            </w:tcMar>
            <w:vAlign w:val="center"/>
          </w:tcPr>
          <w:p w14:paraId="562FC8B6" w14:textId="1856EA7F" w:rsidR="00C11D81" w:rsidRDefault="00A96619" w:rsidP="00C11D81">
            <w:pPr>
              <w:spacing w:after="0"/>
              <w:jc w:val="center"/>
              <w:rPr>
                <w:rFonts w:ascii="Verdana" w:hAnsi="Verdana"/>
                <w:sz w:val="20"/>
                <w:szCs w:val="22"/>
                <w:lang w:val="en-GB" w:eastAsia="en-GB"/>
              </w:rPr>
            </w:pPr>
            <w:proofErr w:type="spellStart"/>
            <w:r w:rsidRPr="00A96619">
              <w:rPr>
                <w:rFonts w:ascii="Verdana" w:hAnsi="Verdana"/>
                <w:sz w:val="20"/>
                <w:szCs w:val="22"/>
                <w:lang w:val="en-GB" w:eastAsia="en-GB"/>
              </w:rPr>
              <w:t>C</w:t>
            </w:r>
            <w:r w:rsidRPr="00A96619">
              <w:rPr>
                <w:rFonts w:ascii="Verdana" w:hAnsi="Verdana"/>
                <w:sz w:val="20"/>
                <w:szCs w:val="22"/>
                <w:vertAlign w:val="subscript"/>
                <w:lang w:val="en-GB" w:eastAsia="en-GB"/>
              </w:rPr>
              <w:t>x</w:t>
            </w:r>
            <w:r w:rsidRPr="00A96619">
              <w:rPr>
                <w:rFonts w:ascii="Verdana" w:hAnsi="Verdana"/>
                <w:sz w:val="20"/>
                <w:szCs w:val="22"/>
                <w:lang w:val="en-GB" w:eastAsia="en-GB"/>
              </w:rPr>
              <w:t>H</w:t>
            </w:r>
            <w:proofErr w:type="spellEnd"/>
            <w:r w:rsidRPr="00A96619">
              <w:rPr>
                <w:rFonts w:ascii="Verdana" w:hAnsi="Verdana"/>
                <w:sz w:val="20"/>
                <w:szCs w:val="22"/>
                <w:vertAlign w:val="subscript"/>
                <w:lang w:val="en-GB" w:eastAsia="en-GB"/>
              </w:rPr>
              <w:t>(2x - y+2)</w:t>
            </w:r>
            <w:proofErr w:type="spellStart"/>
            <w:r w:rsidRPr="00A96619">
              <w:rPr>
                <w:rFonts w:ascii="Verdana" w:hAnsi="Verdana"/>
                <w:sz w:val="20"/>
                <w:szCs w:val="22"/>
                <w:lang w:val="en-GB" w:eastAsia="en-GB"/>
              </w:rPr>
              <w:t>Cl</w:t>
            </w:r>
            <w:r w:rsidRPr="00A96619">
              <w:rPr>
                <w:rFonts w:ascii="Verdana" w:hAnsi="Verdana"/>
                <w:sz w:val="20"/>
                <w:szCs w:val="22"/>
                <w:vertAlign w:val="subscript"/>
                <w:lang w:val="en-GB" w:eastAsia="en-GB"/>
              </w:rPr>
              <w:t>y</w:t>
            </w:r>
            <w:proofErr w:type="spellEnd"/>
            <w:r w:rsidRPr="00A96619">
              <w:rPr>
                <w:rFonts w:ascii="Verdana" w:hAnsi="Verdana"/>
                <w:sz w:val="20"/>
                <w:szCs w:val="22"/>
                <w:lang w:val="en-GB" w:eastAsia="en-GB"/>
              </w:rPr>
              <w:t xml:space="preserve"> </w:t>
            </w:r>
          </w:p>
          <w:p w14:paraId="39B969A4" w14:textId="0233CD48" w:rsidR="00DC49AE" w:rsidRPr="00F13539" w:rsidRDefault="00A96619" w:rsidP="00C11D81">
            <w:pPr>
              <w:spacing w:after="0"/>
              <w:jc w:val="center"/>
              <w:rPr>
                <w:rFonts w:ascii="Verdana" w:hAnsi="Verdana"/>
                <w:sz w:val="20"/>
                <w:szCs w:val="20"/>
              </w:rPr>
            </w:pPr>
            <w:r w:rsidRPr="00A96619">
              <w:rPr>
                <w:rFonts w:ascii="Verdana" w:hAnsi="Verdana"/>
                <w:sz w:val="20"/>
                <w:szCs w:val="22"/>
                <w:lang w:val="en-GB" w:eastAsia="en-GB"/>
              </w:rPr>
              <w:t>where x = 14 - 17 and y = 1 - 17</w:t>
            </w:r>
          </w:p>
        </w:tc>
      </w:tr>
      <w:tr w:rsidR="00DC49AE" w:rsidRPr="0020328D" w14:paraId="39B969A8" w14:textId="77777777" w:rsidTr="00C11D81">
        <w:trPr>
          <w:jc w:val="center"/>
        </w:trPr>
        <w:tc>
          <w:tcPr>
            <w:tcW w:w="3548" w:type="dxa"/>
            <w:tcMar>
              <w:top w:w="40" w:type="dxa"/>
              <w:left w:w="40" w:type="dxa"/>
              <w:bottom w:w="40" w:type="dxa"/>
              <w:right w:w="40" w:type="dxa"/>
            </w:tcMar>
            <w:vAlign w:val="center"/>
          </w:tcPr>
          <w:p w14:paraId="39B969A6" w14:textId="77777777" w:rsidR="00DC49AE" w:rsidRPr="0020328D" w:rsidRDefault="00DC49AE" w:rsidP="00DC49AE">
            <w:pPr>
              <w:pStyle w:val="Tabletext"/>
              <w:spacing w:before="0" w:after="0"/>
              <w:rPr>
                <w:rFonts w:ascii="Verdana" w:hAnsi="Verdana"/>
                <w:b/>
                <w:bCs/>
              </w:rPr>
            </w:pPr>
            <w:r w:rsidRPr="0020328D">
              <w:rPr>
                <w:rFonts w:ascii="Verdana" w:hAnsi="Verdana"/>
                <w:b/>
                <w:bCs/>
              </w:rPr>
              <w:t>Molecular weight or molecular weight range:</w:t>
            </w:r>
          </w:p>
        </w:tc>
        <w:tc>
          <w:tcPr>
            <w:tcW w:w="4845" w:type="dxa"/>
            <w:shd w:val="clear" w:color="auto" w:fill="auto"/>
            <w:tcMar>
              <w:top w:w="40" w:type="dxa"/>
              <w:left w:w="40" w:type="dxa"/>
              <w:bottom w:w="40" w:type="dxa"/>
              <w:right w:w="40" w:type="dxa"/>
            </w:tcMar>
            <w:vAlign w:val="center"/>
          </w:tcPr>
          <w:p w14:paraId="39B969A7" w14:textId="03A9581E" w:rsidR="00DC49AE" w:rsidRPr="00F13539" w:rsidRDefault="00A96619" w:rsidP="00C11D81">
            <w:pPr>
              <w:spacing w:after="0"/>
              <w:jc w:val="center"/>
              <w:rPr>
                <w:rFonts w:ascii="Verdana" w:hAnsi="Verdana"/>
                <w:sz w:val="20"/>
                <w:szCs w:val="20"/>
              </w:rPr>
            </w:pPr>
            <w:r w:rsidRPr="00A96619">
              <w:rPr>
                <w:rFonts w:ascii="Verdana" w:hAnsi="Verdana"/>
                <w:sz w:val="20"/>
                <w:szCs w:val="22"/>
                <w:lang w:val="en-GB" w:eastAsia="en-GB"/>
              </w:rPr>
              <w:t>300 - 600 g/mole (approximately)</w:t>
            </w:r>
          </w:p>
        </w:tc>
      </w:tr>
      <w:tr w:rsidR="00DC49AE" w:rsidRPr="0020328D" w14:paraId="39B969AF" w14:textId="77777777" w:rsidTr="00C11D81">
        <w:trPr>
          <w:trHeight w:val="359"/>
          <w:jc w:val="center"/>
        </w:trPr>
        <w:tc>
          <w:tcPr>
            <w:tcW w:w="3548" w:type="dxa"/>
            <w:tcMar>
              <w:top w:w="40" w:type="dxa"/>
              <w:left w:w="40" w:type="dxa"/>
              <w:bottom w:w="40" w:type="dxa"/>
              <w:right w:w="40" w:type="dxa"/>
            </w:tcMar>
            <w:vAlign w:val="center"/>
          </w:tcPr>
          <w:p w14:paraId="39B969A9" w14:textId="77777777" w:rsidR="00DC49AE" w:rsidRPr="0020328D" w:rsidRDefault="00DC49AE" w:rsidP="00DC49AE">
            <w:pPr>
              <w:pStyle w:val="Tabletext"/>
              <w:spacing w:before="0" w:after="0"/>
              <w:rPr>
                <w:rFonts w:ascii="Verdana" w:hAnsi="Verdana"/>
                <w:b/>
                <w:bCs/>
              </w:rPr>
            </w:pPr>
            <w:r w:rsidRPr="0020328D">
              <w:rPr>
                <w:rFonts w:ascii="Verdana" w:hAnsi="Verdana"/>
                <w:b/>
              </w:rPr>
              <w:t>Synonyms:</w:t>
            </w:r>
          </w:p>
        </w:tc>
        <w:tc>
          <w:tcPr>
            <w:tcW w:w="4845" w:type="dxa"/>
            <w:shd w:val="clear" w:color="auto" w:fill="auto"/>
            <w:tcMar>
              <w:top w:w="40" w:type="dxa"/>
              <w:left w:w="40" w:type="dxa"/>
              <w:bottom w:w="40" w:type="dxa"/>
              <w:right w:w="40" w:type="dxa"/>
            </w:tcMar>
            <w:vAlign w:val="center"/>
          </w:tcPr>
          <w:p w14:paraId="39B969AE" w14:textId="393EFA5F" w:rsidR="00DC49AE" w:rsidRPr="00F22A23" w:rsidRDefault="00F22A23" w:rsidP="00273A74">
            <w:pPr>
              <w:spacing w:after="0"/>
              <w:jc w:val="center"/>
              <w:rPr>
                <w:rFonts w:ascii="Verdana" w:hAnsi="Verdana"/>
                <w:sz w:val="20"/>
                <w:szCs w:val="22"/>
                <w:lang w:val="en-GB" w:eastAsia="en-GB"/>
              </w:rPr>
            </w:pPr>
            <w:r w:rsidRPr="00A96619">
              <w:rPr>
                <w:rFonts w:ascii="Verdana" w:hAnsi="Verdana"/>
                <w:sz w:val="20"/>
                <w:szCs w:val="22"/>
                <w:lang w:val="en-GB" w:eastAsia="en-GB"/>
              </w:rPr>
              <w:t xml:space="preserve">The abbreviation </w:t>
            </w:r>
            <w:r w:rsidR="000578F2">
              <w:rPr>
                <w:rFonts w:ascii="Verdana" w:hAnsi="Verdana"/>
                <w:sz w:val="20"/>
                <w:szCs w:val="22"/>
                <w:lang w:val="en-GB" w:eastAsia="en-GB"/>
              </w:rPr>
              <w:t>MCCPs</w:t>
            </w:r>
            <w:r w:rsidRPr="00A96619">
              <w:rPr>
                <w:rFonts w:ascii="Verdana" w:hAnsi="Verdana"/>
                <w:sz w:val="20"/>
                <w:szCs w:val="22"/>
                <w:lang w:val="en-GB" w:eastAsia="en-GB"/>
              </w:rPr>
              <w:t xml:space="preserve"> will be used for the substance throughout this dossier</w:t>
            </w:r>
          </w:p>
        </w:tc>
      </w:tr>
    </w:tbl>
    <w:p w14:paraId="39B969B0" w14:textId="77777777" w:rsidR="009B5A67" w:rsidRDefault="009B5A67" w:rsidP="009B62CC">
      <w:pPr>
        <w:pStyle w:val="BodyText"/>
        <w:spacing w:after="0"/>
        <w:rPr>
          <w:rFonts w:ascii="Verdana" w:hAnsi="Verdana"/>
        </w:rPr>
      </w:pPr>
      <w:r>
        <w:rPr>
          <w:rFonts w:ascii="Verdana" w:hAnsi="Verdana"/>
        </w:rPr>
        <w:t xml:space="preserve"> </w:t>
      </w:r>
    </w:p>
    <w:p w14:paraId="39B969B1" w14:textId="48D57007" w:rsidR="00921EB8" w:rsidRDefault="00921EB8" w:rsidP="00C11D81">
      <w:pPr>
        <w:pStyle w:val="Caption"/>
        <w:tabs>
          <w:tab w:val="left" w:pos="960"/>
        </w:tabs>
        <w:ind w:left="0"/>
        <w:rPr>
          <w:rFonts w:ascii="Verdana" w:hAnsi="Verdana"/>
          <w:sz w:val="20"/>
        </w:rPr>
      </w:pPr>
      <w:r w:rsidRPr="006B132F">
        <w:rPr>
          <w:rFonts w:ascii="Verdana" w:hAnsi="Verdana"/>
          <w:b/>
          <w:sz w:val="20"/>
        </w:rPr>
        <w:t>Type of substance</w:t>
      </w:r>
      <w:r w:rsidRPr="006B132F">
        <w:rPr>
          <w:rFonts w:ascii="Verdana" w:hAnsi="Verdana"/>
          <w:b/>
          <w:sz w:val="20"/>
        </w:rPr>
        <w:tab/>
      </w:r>
      <w:sdt>
        <w:sdtPr>
          <w:rPr>
            <w:rFonts w:ascii="Verdana" w:hAnsi="Verdana"/>
            <w:szCs w:val="24"/>
          </w:rPr>
          <w:id w:val="316457405"/>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Pr="006B132F">
        <w:rPr>
          <w:rFonts w:ascii="Verdana" w:hAnsi="Verdana"/>
          <w:sz w:val="20"/>
        </w:rPr>
        <w:t xml:space="preserve"> Mono-constituent</w:t>
      </w:r>
      <w:r w:rsidRPr="006B132F">
        <w:rPr>
          <w:rFonts w:ascii="Verdana" w:hAnsi="Verdana"/>
          <w:sz w:val="20"/>
        </w:rPr>
        <w:tab/>
      </w:r>
      <w:sdt>
        <w:sdtPr>
          <w:rPr>
            <w:rFonts w:ascii="Verdana" w:hAnsi="Verdana"/>
            <w:szCs w:val="24"/>
          </w:rPr>
          <w:id w:val="-1837456679"/>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Pr="006B132F">
        <w:rPr>
          <w:rFonts w:ascii="Verdana" w:hAnsi="Verdana"/>
          <w:sz w:val="20"/>
        </w:rPr>
        <w:t xml:space="preserve"> Multi-constituent</w:t>
      </w:r>
      <w:r w:rsidRPr="006B132F">
        <w:rPr>
          <w:rFonts w:ascii="Verdana" w:hAnsi="Verdana"/>
          <w:sz w:val="20"/>
        </w:rPr>
        <w:tab/>
      </w:r>
      <w:sdt>
        <w:sdtPr>
          <w:rPr>
            <w:rFonts w:ascii="Verdana" w:hAnsi="Verdana"/>
            <w:szCs w:val="24"/>
          </w:rPr>
          <w:id w:val="-374238681"/>
          <w14:checkbox>
            <w14:checked w14:val="1"/>
            <w14:checkedState w14:val="2612" w14:font="MS Gothic"/>
            <w14:uncheckedState w14:val="2610" w14:font="MS Gothic"/>
          </w14:checkbox>
        </w:sdtPr>
        <w:sdtContent>
          <w:r w:rsidR="00EF4977">
            <w:rPr>
              <w:rFonts w:ascii="MS Gothic" w:eastAsia="MS Gothic" w:hAnsi="MS Gothic" w:hint="eastAsia"/>
              <w:szCs w:val="24"/>
            </w:rPr>
            <w:t>☒</w:t>
          </w:r>
        </w:sdtContent>
      </w:sdt>
      <w:r w:rsidRPr="006B132F">
        <w:rPr>
          <w:rFonts w:ascii="Verdana" w:hAnsi="Verdana"/>
          <w:sz w:val="20"/>
        </w:rPr>
        <w:t xml:space="preserve"> UVCB</w:t>
      </w:r>
    </w:p>
    <w:p w14:paraId="39B969B2" w14:textId="77777777" w:rsidR="00921EB8" w:rsidRDefault="00921EB8" w:rsidP="00921EB8">
      <w:pPr>
        <w:pStyle w:val="BodyText"/>
        <w:tabs>
          <w:tab w:val="left" w:pos="1985"/>
          <w:tab w:val="left" w:pos="4678"/>
          <w:tab w:val="left" w:pos="7088"/>
        </w:tabs>
        <w:spacing w:after="0"/>
        <w:ind w:left="-567"/>
        <w:jc w:val="left"/>
        <w:rPr>
          <w:rFonts w:ascii="Verdana" w:hAnsi="Verdana"/>
          <w:sz w:val="20"/>
        </w:rPr>
      </w:pPr>
    </w:p>
    <w:p w14:paraId="0D09A63B" w14:textId="77777777" w:rsidR="00A96619" w:rsidRDefault="00921EB8" w:rsidP="00C11D81">
      <w:pPr>
        <w:pStyle w:val="Caption"/>
        <w:tabs>
          <w:tab w:val="left" w:pos="960"/>
        </w:tabs>
        <w:ind w:left="0"/>
        <w:rPr>
          <w:rFonts w:ascii="Verdana" w:hAnsi="Verdana"/>
          <w:b/>
          <w:sz w:val="20"/>
        </w:rPr>
      </w:pPr>
      <w:r w:rsidRPr="00A806A7">
        <w:rPr>
          <w:rFonts w:ascii="Verdana" w:hAnsi="Verdana"/>
          <w:b/>
          <w:sz w:val="20"/>
        </w:rPr>
        <w:t>Structural formula</w:t>
      </w:r>
    </w:p>
    <w:p w14:paraId="00CE64D4" w14:textId="312E8822" w:rsidR="00A96619" w:rsidRPr="00A96619" w:rsidRDefault="00C11D81" w:rsidP="00C11D81">
      <w:pPr>
        <w:spacing w:after="200"/>
        <w:jc w:val="both"/>
        <w:rPr>
          <w:rFonts w:ascii="Verdana" w:hAnsi="Verdana"/>
          <w:b/>
          <w:sz w:val="20"/>
        </w:rPr>
      </w:pPr>
      <w:r w:rsidRPr="00DC0A78">
        <w:rPr>
          <w:noProof/>
          <w:lang w:val="en-GB" w:eastAsia="en-GB"/>
        </w:rPr>
        <mc:AlternateContent>
          <mc:Choice Requires="wpg">
            <w:drawing>
              <wp:anchor distT="0" distB="0" distL="114300" distR="114300" simplePos="0" relativeHeight="251660288" behindDoc="1" locked="0" layoutInCell="1" allowOverlap="1" wp14:anchorId="39EC0CBD" wp14:editId="39218673">
                <wp:simplePos x="0" y="0"/>
                <wp:positionH relativeFrom="column">
                  <wp:posOffset>1049655</wp:posOffset>
                </wp:positionH>
                <wp:positionV relativeFrom="paragraph">
                  <wp:posOffset>257810</wp:posOffset>
                </wp:positionV>
                <wp:extent cx="3657600" cy="1551305"/>
                <wp:effectExtent l="0" t="0" r="0" b="0"/>
                <wp:wrapTight wrapText="bothSides">
                  <wp:wrapPolygon edited="0">
                    <wp:start x="0" y="0"/>
                    <wp:lineTo x="0" y="21220"/>
                    <wp:lineTo x="15188" y="21220"/>
                    <wp:lineTo x="21488" y="18302"/>
                    <wp:lineTo x="21488" y="14323"/>
                    <wp:lineTo x="15188" y="12732"/>
                    <wp:lineTo x="15188" y="8488"/>
                    <wp:lineTo x="21488" y="6896"/>
                    <wp:lineTo x="21488" y="2918"/>
                    <wp:lineTo x="15188" y="0"/>
                    <wp:lineTo x="0"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551305"/>
                          <a:chOff x="4320" y="3732"/>
                          <a:chExt cx="5760" cy="2443"/>
                        </a:xfrm>
                      </wpg:grpSpPr>
                      <wps:wsp>
                        <wps:cNvPr id="18" name="Text Box 3"/>
                        <wps:cNvSpPr txBox="1">
                          <a:spLocks noChangeArrowheads="1"/>
                        </wps:cNvSpPr>
                        <wps:spPr bwMode="auto">
                          <a:xfrm>
                            <a:off x="8784" y="407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1C5AD" w14:textId="77777777" w:rsidR="0066361A" w:rsidRPr="00C11D81" w:rsidRDefault="0066361A" w:rsidP="00C11D81">
                              <w:pPr>
                                <w:rPr>
                                  <w:rFonts w:ascii="Verdana" w:hAnsi="Verdana"/>
                                  <w:vertAlign w:val="subscript"/>
                                </w:rPr>
                              </w:pPr>
                              <w:r w:rsidRPr="00C11D81">
                                <w:rPr>
                                  <w:rFonts w:ascii="Verdana" w:hAnsi="Verdana"/>
                                  <w:sz w:val="20"/>
                                </w:rPr>
                                <w:t>C</w:t>
                              </w:r>
                              <w:r w:rsidRPr="00C11D81">
                                <w:rPr>
                                  <w:rFonts w:ascii="Verdana" w:hAnsi="Verdana"/>
                                  <w:sz w:val="20"/>
                                  <w:vertAlign w:val="subscript"/>
                                </w:rPr>
                                <w:t>14</w:t>
                              </w:r>
                              <w:r w:rsidRPr="00C11D81">
                                <w:rPr>
                                  <w:rFonts w:ascii="Verdana" w:hAnsi="Verdana"/>
                                  <w:sz w:val="20"/>
                                </w:rPr>
                                <w:t>H</w:t>
                              </w:r>
                              <w:r w:rsidRPr="00C11D81">
                                <w:rPr>
                                  <w:rFonts w:ascii="Verdana" w:hAnsi="Verdana"/>
                                  <w:sz w:val="20"/>
                                  <w:vertAlign w:val="subscript"/>
                                </w:rPr>
                                <w:t>24</w:t>
                              </w:r>
                              <w:r w:rsidRPr="00C11D81">
                                <w:rPr>
                                  <w:rFonts w:ascii="Verdana" w:hAnsi="Verdana"/>
                                  <w:sz w:val="20"/>
                                </w:rPr>
                                <w:t>Cl</w:t>
                              </w:r>
                              <w:r w:rsidRPr="00C11D81">
                                <w:rPr>
                                  <w:rFonts w:ascii="Verdana" w:hAnsi="Verdana"/>
                                  <w:vertAlign w:val="subscript"/>
                                </w:rPr>
                                <w:t>6</w:t>
                              </w:r>
                            </w:p>
                            <w:p w14:paraId="4AD95510" w14:textId="77777777" w:rsidR="0066361A" w:rsidRDefault="0066361A" w:rsidP="00C11D81"/>
                          </w:txbxContent>
                        </wps:txbx>
                        <wps:bodyPr rot="0" vert="horz" wrap="square" lIns="91440" tIns="45720" rIns="91440" bIns="45720" anchor="t" anchorCtr="0" upright="1">
                          <a:noAutofit/>
                        </wps:bodyPr>
                      </wps:wsp>
                      <wps:wsp>
                        <wps:cNvPr id="19" name="Text Box 4"/>
                        <wps:cNvSpPr txBox="1">
                          <a:spLocks noChangeArrowheads="1"/>
                        </wps:cNvSpPr>
                        <wps:spPr bwMode="auto">
                          <a:xfrm>
                            <a:off x="8784" y="5374"/>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13124" w14:textId="77777777" w:rsidR="0066361A" w:rsidRPr="00C11D81" w:rsidRDefault="0066361A" w:rsidP="00C11D81">
                              <w:pPr>
                                <w:rPr>
                                  <w:rFonts w:ascii="Verdana" w:hAnsi="Verdana"/>
                                </w:rPr>
                              </w:pPr>
                              <w:r w:rsidRPr="00C11D81">
                                <w:rPr>
                                  <w:rFonts w:ascii="Verdana" w:hAnsi="Verdana"/>
                                  <w:sz w:val="20"/>
                                </w:rPr>
                                <w:t>C</w:t>
                              </w:r>
                              <w:r w:rsidRPr="00C11D81">
                                <w:rPr>
                                  <w:rFonts w:ascii="Verdana" w:hAnsi="Verdana"/>
                                  <w:sz w:val="20"/>
                                  <w:vertAlign w:val="subscript"/>
                                </w:rPr>
                                <w:t>17</w:t>
                              </w:r>
                              <w:r w:rsidRPr="00C11D81">
                                <w:rPr>
                                  <w:rFonts w:ascii="Verdana" w:hAnsi="Verdana"/>
                                  <w:sz w:val="20"/>
                                </w:rPr>
                                <w:t>H</w:t>
                              </w:r>
                              <w:r w:rsidRPr="00C11D81">
                                <w:rPr>
                                  <w:rFonts w:ascii="Verdana" w:hAnsi="Verdana"/>
                                  <w:sz w:val="20"/>
                                  <w:vertAlign w:val="subscript"/>
                                </w:rPr>
                                <w:t>29</w:t>
                              </w:r>
                              <w:r w:rsidRPr="00C11D81">
                                <w:rPr>
                                  <w:rFonts w:ascii="Verdana" w:hAnsi="Verdana"/>
                                  <w:sz w:val="20"/>
                                </w:rPr>
                                <w:t>Cl</w:t>
                              </w:r>
                              <w:r w:rsidRPr="00C11D81">
                                <w:rPr>
                                  <w:rFonts w:ascii="Verdana" w:hAnsi="Verdana"/>
                                  <w:vertAlign w:val="subscript"/>
                                </w:rPr>
                                <w:t>7</w:t>
                              </w:r>
                            </w:p>
                          </w:txbxContent>
                        </wps:txbx>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0" y="3732"/>
                            <a:ext cx="4032" cy="24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EC0CBD" id="Group 17" o:spid="_x0000_s1027" style="position:absolute;left:0;text-align:left;margin-left:82.65pt;margin-top:20.3pt;width:4in;height:122.15pt;z-index:-251656192" coordorigin="4320,3732" coordsize="5760,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">
                <v:shapetype id="_x0000_t202" coordsize="21600,21600" o:spt="202" path="m,l,21600r21600,l21600,xe">
                  <v:stroke joinstyle="miter"/>
                  <v:path gradientshapeok="t" o:connecttype="rect"/>
                </v:shapetype>
                <v:shape id="Text Box 3" o:spid="_x0000_s1028" type="#_x0000_t202" style="position:absolute;left:8784;top:407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3E11C5AD" w14:textId="77777777" w:rsidR="0066361A" w:rsidRPr="00C11D81" w:rsidRDefault="0066361A" w:rsidP="00C11D81">
                        <w:pPr>
                          <w:rPr>
                            <w:rFonts w:ascii="Verdana" w:hAnsi="Verdana"/>
                            <w:vertAlign w:val="subscript"/>
                          </w:rPr>
                        </w:pPr>
                        <w:r w:rsidRPr="00C11D81">
                          <w:rPr>
                            <w:rFonts w:ascii="Verdana" w:hAnsi="Verdana"/>
                            <w:sz w:val="20"/>
                          </w:rPr>
                          <w:t>C</w:t>
                        </w:r>
                        <w:r w:rsidRPr="00C11D81">
                          <w:rPr>
                            <w:rFonts w:ascii="Verdana" w:hAnsi="Verdana"/>
                            <w:sz w:val="20"/>
                            <w:vertAlign w:val="subscript"/>
                          </w:rPr>
                          <w:t>14</w:t>
                        </w:r>
                        <w:r w:rsidRPr="00C11D81">
                          <w:rPr>
                            <w:rFonts w:ascii="Verdana" w:hAnsi="Verdana"/>
                            <w:sz w:val="20"/>
                          </w:rPr>
                          <w:t>H</w:t>
                        </w:r>
                        <w:r w:rsidRPr="00C11D81">
                          <w:rPr>
                            <w:rFonts w:ascii="Verdana" w:hAnsi="Verdana"/>
                            <w:sz w:val="20"/>
                            <w:vertAlign w:val="subscript"/>
                          </w:rPr>
                          <w:t>24</w:t>
                        </w:r>
                        <w:r w:rsidRPr="00C11D81">
                          <w:rPr>
                            <w:rFonts w:ascii="Verdana" w:hAnsi="Verdana"/>
                            <w:sz w:val="20"/>
                          </w:rPr>
                          <w:t>Cl</w:t>
                        </w:r>
                        <w:r w:rsidRPr="00C11D81">
                          <w:rPr>
                            <w:rFonts w:ascii="Verdana" w:hAnsi="Verdana"/>
                            <w:vertAlign w:val="subscript"/>
                          </w:rPr>
                          <w:t>6</w:t>
                        </w:r>
                      </w:p>
                      <w:p w14:paraId="4AD95510" w14:textId="77777777" w:rsidR="0066361A" w:rsidRDefault="0066361A" w:rsidP="00C11D81"/>
                    </w:txbxContent>
                  </v:textbox>
                </v:shape>
                <v:shape id="Text Box 4" o:spid="_x0000_s1029" type="#_x0000_t202" style="position:absolute;left:8784;top:5374;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0EA13124" w14:textId="77777777" w:rsidR="0066361A" w:rsidRPr="00C11D81" w:rsidRDefault="0066361A" w:rsidP="00C11D81">
                        <w:pPr>
                          <w:rPr>
                            <w:rFonts w:ascii="Verdana" w:hAnsi="Verdana"/>
                          </w:rPr>
                        </w:pPr>
                        <w:r w:rsidRPr="00C11D81">
                          <w:rPr>
                            <w:rFonts w:ascii="Verdana" w:hAnsi="Verdana"/>
                            <w:sz w:val="20"/>
                          </w:rPr>
                          <w:t>C</w:t>
                        </w:r>
                        <w:r w:rsidRPr="00C11D81">
                          <w:rPr>
                            <w:rFonts w:ascii="Verdana" w:hAnsi="Verdana"/>
                            <w:sz w:val="20"/>
                            <w:vertAlign w:val="subscript"/>
                          </w:rPr>
                          <w:t>17</w:t>
                        </w:r>
                        <w:r w:rsidRPr="00C11D81">
                          <w:rPr>
                            <w:rFonts w:ascii="Verdana" w:hAnsi="Verdana"/>
                            <w:sz w:val="20"/>
                          </w:rPr>
                          <w:t>H</w:t>
                        </w:r>
                        <w:r w:rsidRPr="00C11D81">
                          <w:rPr>
                            <w:rFonts w:ascii="Verdana" w:hAnsi="Verdana"/>
                            <w:sz w:val="20"/>
                            <w:vertAlign w:val="subscript"/>
                          </w:rPr>
                          <w:t>29</w:t>
                        </w:r>
                        <w:r w:rsidRPr="00C11D81">
                          <w:rPr>
                            <w:rFonts w:ascii="Verdana" w:hAnsi="Verdana"/>
                            <w:sz w:val="20"/>
                          </w:rPr>
                          <w:t>Cl</w:t>
                        </w:r>
                        <w:r w:rsidRPr="00C11D81">
                          <w:rPr>
                            <w:rFonts w:ascii="Verdana" w:hAnsi="Verdana"/>
                            <w:vertAlign w:val="subscript"/>
                          </w:rPr>
                          <w:t>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320;top:3732;width:4032;height:2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OkfC+AAAA2wAAAA8AAABkcnMvZG93bnJldi54bWxET8uKwjAU3Qv+Q7jC7DTRgaFWo4igzGMh&#10;Pj7g0lybanNTmqj1781iwOXhvOfLztXiTm2oPGsYjxQI4sKbiksNp+NmmIEIEdlg7Zk0PCnActHv&#10;zTE3/sF7uh9iKVIIhxw12BibXMpQWHIYRr4hTtzZtw5jgm0pTYuPFO5qOVHqSzqsODVYbGhtqbge&#10;bk7D9DP7+fUZNVb9baqtjOeL4p3WH4NuNQMRqYtv8b/722iYpPXpS/oBcv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COkfC+AAAA2wAAAA8AAAAAAAAAAAAAAAAAnwIAAGRy&#10;cy9kb3ducmV2LnhtbFBLBQYAAAAABAAEAPcAAACKAwAAAAA=&#10;">
                  <v:imagedata r:id="rId22" o:title=""/>
                </v:shape>
                <w10:wrap type="tight"/>
              </v:group>
            </w:pict>
          </mc:Fallback>
        </mc:AlternateContent>
      </w:r>
      <w:r w:rsidR="00A96619" w:rsidRPr="00C11D81">
        <w:rPr>
          <w:rFonts w:ascii="Verdana" w:hAnsi="Verdana"/>
          <w:sz w:val="20"/>
          <w:szCs w:val="22"/>
          <w:lang w:val="en-GB" w:eastAsia="en-GB"/>
        </w:rPr>
        <w:t>Example</w:t>
      </w:r>
      <w:r w:rsidR="00A96619" w:rsidRPr="00A96619">
        <w:rPr>
          <w:rFonts w:ascii="Verdana" w:hAnsi="Verdana"/>
          <w:sz w:val="20"/>
          <w:szCs w:val="22"/>
          <w:lang w:eastAsia="en-GB"/>
        </w:rPr>
        <w:t xml:space="preserve"> structures (hydrogen atoms removed for simplicity) include</w:t>
      </w:r>
      <w:r w:rsidR="00A96619">
        <w:rPr>
          <w:rFonts w:ascii="Verdana" w:hAnsi="Verdana"/>
          <w:sz w:val="20"/>
          <w:szCs w:val="22"/>
          <w:lang w:eastAsia="en-GB"/>
        </w:rPr>
        <w:t>:</w:t>
      </w:r>
    </w:p>
    <w:p w14:paraId="0BCBDB1E" w14:textId="65B022A9" w:rsidR="00A96619" w:rsidRDefault="00A96619" w:rsidP="00921EB8">
      <w:pPr>
        <w:pStyle w:val="BodyText"/>
        <w:tabs>
          <w:tab w:val="left" w:pos="1985"/>
          <w:tab w:val="left" w:pos="4678"/>
          <w:tab w:val="left" w:pos="7088"/>
        </w:tabs>
        <w:spacing w:after="0"/>
        <w:ind w:left="-567"/>
        <w:jc w:val="left"/>
        <w:rPr>
          <w:rFonts w:ascii="Verdana" w:hAnsi="Verdana"/>
          <w:b/>
          <w:sz w:val="20"/>
        </w:rPr>
      </w:pPr>
    </w:p>
    <w:p w14:paraId="26A1D0BD" w14:textId="08439C71" w:rsidR="00A96619" w:rsidRDefault="00A96619" w:rsidP="00921EB8">
      <w:pPr>
        <w:pStyle w:val="BodyText"/>
        <w:tabs>
          <w:tab w:val="left" w:pos="1985"/>
          <w:tab w:val="left" w:pos="4678"/>
          <w:tab w:val="left" w:pos="7088"/>
        </w:tabs>
        <w:spacing w:after="0"/>
        <w:ind w:left="-567"/>
        <w:jc w:val="left"/>
        <w:rPr>
          <w:rFonts w:ascii="Verdana" w:hAnsi="Verdana"/>
          <w:b/>
          <w:sz w:val="20"/>
        </w:rPr>
      </w:pPr>
    </w:p>
    <w:p w14:paraId="39B969B5" w14:textId="77777777" w:rsidR="00921EB8" w:rsidRDefault="00921EB8" w:rsidP="00921EB8">
      <w:pPr>
        <w:pStyle w:val="BodyText"/>
        <w:tabs>
          <w:tab w:val="left" w:pos="1985"/>
          <w:tab w:val="left" w:pos="4678"/>
          <w:tab w:val="left" w:pos="7088"/>
        </w:tabs>
        <w:spacing w:after="0"/>
        <w:ind w:left="-567"/>
        <w:jc w:val="left"/>
        <w:rPr>
          <w:rFonts w:ascii="Verdana" w:hAnsi="Verdana"/>
          <w:sz w:val="20"/>
        </w:rPr>
      </w:pPr>
    </w:p>
    <w:p w14:paraId="58C02DB8"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5FA6D44B"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1E2B2308"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77EB9EF4"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253DE78F"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52E92899"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55C752A4"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5ABA4E58" w14:textId="77777777" w:rsidR="00C11D81" w:rsidRDefault="00C11D81" w:rsidP="00921EB8">
      <w:pPr>
        <w:pStyle w:val="BodyText"/>
        <w:tabs>
          <w:tab w:val="left" w:pos="1985"/>
          <w:tab w:val="left" w:pos="4678"/>
          <w:tab w:val="left" w:pos="7088"/>
        </w:tabs>
        <w:spacing w:after="0"/>
        <w:ind w:left="-567"/>
        <w:jc w:val="left"/>
        <w:rPr>
          <w:rFonts w:ascii="Verdana" w:hAnsi="Verdana"/>
          <w:sz w:val="20"/>
        </w:rPr>
      </w:pPr>
    </w:p>
    <w:p w14:paraId="39B969B6" w14:textId="77777777" w:rsidR="00DC49AE" w:rsidRDefault="00DC49AE" w:rsidP="00C11D81">
      <w:pPr>
        <w:pStyle w:val="Caption"/>
        <w:tabs>
          <w:tab w:val="left" w:pos="960"/>
        </w:tabs>
        <w:ind w:left="0"/>
        <w:rPr>
          <w:rFonts w:ascii="Verdana" w:hAnsi="Verdana"/>
          <w:b/>
          <w:sz w:val="20"/>
        </w:rPr>
      </w:pPr>
      <w:r>
        <w:rPr>
          <w:rFonts w:ascii="Verdana" w:hAnsi="Verdana"/>
          <w:b/>
          <w:sz w:val="20"/>
        </w:rPr>
        <w:t>Other relevant information about substance composition</w:t>
      </w:r>
    </w:p>
    <w:p w14:paraId="39B969BE" w14:textId="77777777" w:rsidR="00DC49AE" w:rsidRDefault="00DC49AE" w:rsidP="00DC49AE">
      <w:pPr>
        <w:pStyle w:val="BodyText"/>
        <w:tabs>
          <w:tab w:val="left" w:pos="1985"/>
          <w:tab w:val="left" w:pos="4678"/>
          <w:tab w:val="left" w:pos="7088"/>
        </w:tabs>
        <w:spacing w:after="0"/>
        <w:ind w:left="-567"/>
        <w:jc w:val="left"/>
        <w:rPr>
          <w:rFonts w:ascii="Verdana" w:hAnsi="Verdana"/>
          <w:i/>
          <w:sz w:val="20"/>
        </w:rPr>
      </w:pPr>
    </w:p>
    <w:p w14:paraId="1DED71BB" w14:textId="77777777" w:rsidR="00A96619" w:rsidRPr="00A96619" w:rsidRDefault="00A96619" w:rsidP="00A96619">
      <w:pPr>
        <w:spacing w:after="120"/>
        <w:jc w:val="both"/>
        <w:rPr>
          <w:rFonts w:ascii="Verdana" w:hAnsi="Verdana"/>
          <w:b/>
          <w:sz w:val="20"/>
          <w:szCs w:val="20"/>
          <w:lang w:val="en-GB" w:eastAsia="en-GB"/>
        </w:rPr>
      </w:pPr>
      <w:r w:rsidRPr="00A96619">
        <w:rPr>
          <w:rFonts w:ascii="Verdana" w:hAnsi="Verdana"/>
          <w:b/>
          <w:sz w:val="20"/>
          <w:szCs w:val="20"/>
          <w:lang w:val="en-GB" w:eastAsia="en-GB"/>
        </w:rPr>
        <w:t>UVCB substance</w:t>
      </w:r>
    </w:p>
    <w:p w14:paraId="7515BF17" w14:textId="1A741A6A" w:rsidR="00F22A23" w:rsidRPr="004746C9" w:rsidRDefault="000578F2" w:rsidP="00F22A23">
      <w:pPr>
        <w:jc w:val="both"/>
        <w:rPr>
          <w:rFonts w:ascii="Verdana" w:eastAsiaTheme="minorHAnsi" w:hAnsi="Verdana" w:cs="Verdana"/>
          <w:color w:val="000000"/>
          <w:sz w:val="20"/>
          <w:szCs w:val="20"/>
        </w:rPr>
      </w:pPr>
      <w:r>
        <w:rPr>
          <w:rFonts w:ascii="Verdana" w:eastAsiaTheme="minorHAnsi" w:hAnsi="Verdana" w:cs="Verdana"/>
          <w:color w:val="000000"/>
          <w:sz w:val="20"/>
          <w:szCs w:val="20"/>
        </w:rPr>
        <w:t>MCCPs</w:t>
      </w:r>
      <w:r w:rsidR="00F22A23">
        <w:rPr>
          <w:rFonts w:ascii="Verdana" w:eastAsiaTheme="minorHAnsi" w:hAnsi="Verdana" w:cs="Verdana"/>
          <w:color w:val="000000"/>
          <w:sz w:val="20"/>
          <w:szCs w:val="20"/>
        </w:rPr>
        <w:t xml:space="preserve"> </w:t>
      </w:r>
      <w:r w:rsidR="00F22A23" w:rsidRPr="004746C9">
        <w:rPr>
          <w:rFonts w:ascii="Verdana" w:eastAsiaTheme="minorHAnsi" w:hAnsi="Verdana" w:cs="Verdana"/>
          <w:color w:val="000000"/>
          <w:sz w:val="20"/>
          <w:szCs w:val="20"/>
        </w:rPr>
        <w:t xml:space="preserve">is a substance of </w:t>
      </w:r>
      <w:r w:rsidR="00273A74">
        <w:rPr>
          <w:rFonts w:ascii="Verdana" w:eastAsiaTheme="minorHAnsi" w:hAnsi="Verdana" w:cs="Verdana"/>
          <w:color w:val="000000"/>
          <w:sz w:val="20"/>
          <w:szCs w:val="20"/>
        </w:rPr>
        <w:t>“</w:t>
      </w:r>
      <w:r w:rsidR="00F22A23" w:rsidRPr="004746C9">
        <w:rPr>
          <w:rFonts w:ascii="Verdana" w:eastAsiaTheme="minorHAnsi" w:hAnsi="Verdana" w:cs="Verdana"/>
          <w:color w:val="000000"/>
          <w:sz w:val="20"/>
          <w:szCs w:val="20"/>
        </w:rPr>
        <w:t>unknown or variable composition, complex reaction products or biological materials</w:t>
      </w:r>
      <w:r w:rsidR="00273A74">
        <w:rPr>
          <w:rFonts w:ascii="Verdana" w:eastAsiaTheme="minorHAnsi" w:hAnsi="Verdana" w:cs="Verdana"/>
          <w:color w:val="000000"/>
          <w:sz w:val="20"/>
          <w:szCs w:val="20"/>
        </w:rPr>
        <w:t>”</w:t>
      </w:r>
      <w:r w:rsidR="00F22A23" w:rsidRPr="004746C9">
        <w:rPr>
          <w:rFonts w:ascii="Verdana" w:eastAsiaTheme="minorHAnsi" w:hAnsi="Verdana" w:cs="Verdana"/>
          <w:color w:val="000000"/>
          <w:sz w:val="20"/>
          <w:szCs w:val="20"/>
        </w:rPr>
        <w:t xml:space="preserve"> (hereinafter ‘UVCB’). It contains linear chloroalkanes predominantly in the range of C</w:t>
      </w:r>
      <w:r w:rsidR="00F22A23" w:rsidRPr="004746C9">
        <w:rPr>
          <w:rFonts w:ascii="Verdana" w:eastAsiaTheme="minorHAnsi" w:hAnsi="Verdana" w:cs="Verdana"/>
          <w:color w:val="000000"/>
          <w:sz w:val="20"/>
          <w:szCs w:val="20"/>
          <w:vertAlign w:val="subscript"/>
        </w:rPr>
        <w:t>14-17</w:t>
      </w:r>
      <w:r w:rsidR="00F22A23" w:rsidRPr="004746C9">
        <w:rPr>
          <w:rFonts w:ascii="Verdana" w:eastAsiaTheme="minorHAnsi" w:hAnsi="Verdana" w:cs="Verdana"/>
          <w:color w:val="000000"/>
          <w:sz w:val="20"/>
          <w:szCs w:val="20"/>
        </w:rPr>
        <w:t xml:space="preserve"> with chlorination levels in the range of 40-70</w:t>
      </w:r>
      <w:r w:rsidR="009A50EF">
        <w:rPr>
          <w:rFonts w:ascii="Verdana" w:eastAsiaTheme="minorHAnsi" w:hAnsi="Verdana" w:cs="Verdana"/>
          <w:color w:val="000000"/>
          <w:sz w:val="20"/>
          <w:szCs w:val="20"/>
        </w:rPr>
        <w:t>%</w:t>
      </w:r>
      <w:r w:rsidR="00F22A23" w:rsidRPr="004746C9">
        <w:rPr>
          <w:rFonts w:ascii="Verdana" w:eastAsiaTheme="minorHAnsi" w:hAnsi="Verdana" w:cs="Verdana"/>
          <w:color w:val="000000"/>
          <w:sz w:val="20"/>
          <w:szCs w:val="20"/>
        </w:rPr>
        <w:t xml:space="preserve"> by weight. </w:t>
      </w:r>
      <w:r>
        <w:rPr>
          <w:rFonts w:ascii="Verdana" w:eastAsiaTheme="minorHAnsi" w:hAnsi="Verdana" w:cs="Verdana"/>
          <w:color w:val="000000"/>
          <w:sz w:val="20"/>
          <w:szCs w:val="20"/>
        </w:rPr>
        <w:t>MCCPs</w:t>
      </w:r>
      <w:r w:rsidR="00F22A23">
        <w:rPr>
          <w:rFonts w:ascii="Verdana" w:eastAsiaTheme="minorHAnsi" w:hAnsi="Verdana" w:cs="Verdana"/>
          <w:color w:val="000000"/>
          <w:sz w:val="20"/>
          <w:szCs w:val="20"/>
        </w:rPr>
        <w:t xml:space="preserve"> </w:t>
      </w:r>
      <w:r w:rsidR="00273A74">
        <w:rPr>
          <w:rFonts w:ascii="Verdana" w:eastAsiaTheme="minorHAnsi" w:hAnsi="Verdana" w:cs="Verdana"/>
          <w:color w:val="000000"/>
          <w:sz w:val="20"/>
          <w:szCs w:val="20"/>
        </w:rPr>
        <w:t xml:space="preserve">therefore </w:t>
      </w:r>
      <w:r w:rsidR="00F22A23" w:rsidRPr="004746C9">
        <w:rPr>
          <w:rFonts w:ascii="Verdana" w:eastAsiaTheme="minorHAnsi" w:hAnsi="Verdana" w:cs="Verdana"/>
          <w:color w:val="000000"/>
          <w:sz w:val="20"/>
          <w:szCs w:val="20"/>
        </w:rPr>
        <w:t xml:space="preserve">contains hundreds of </w:t>
      </w:r>
      <w:r w:rsidR="00E56180">
        <w:rPr>
          <w:rFonts w:ascii="Verdana" w:eastAsiaTheme="minorHAnsi" w:hAnsi="Verdana" w:cs="Verdana"/>
          <w:color w:val="000000"/>
          <w:sz w:val="20"/>
          <w:szCs w:val="20"/>
        </w:rPr>
        <w:t>constituents</w:t>
      </w:r>
      <w:r w:rsidR="00F22A23">
        <w:rPr>
          <w:rFonts w:ascii="Verdana" w:eastAsiaTheme="minorHAnsi" w:hAnsi="Verdana" w:cs="Verdana"/>
          <w:color w:val="000000"/>
          <w:sz w:val="20"/>
          <w:szCs w:val="20"/>
        </w:rPr>
        <w:t>.</w:t>
      </w:r>
      <w:r w:rsidR="007B0111">
        <w:rPr>
          <w:rFonts w:ascii="Verdana" w:eastAsiaTheme="minorHAnsi" w:hAnsi="Verdana" w:cs="Verdana"/>
          <w:color w:val="000000"/>
          <w:sz w:val="20"/>
          <w:szCs w:val="20"/>
        </w:rPr>
        <w:t xml:space="preserve"> The chain length distribution reflects the hydrocarbon feedstock that is used in its manufacture.</w:t>
      </w:r>
      <w:r w:rsidR="00AA12BC">
        <w:rPr>
          <w:rFonts w:ascii="Verdana" w:eastAsiaTheme="minorHAnsi" w:hAnsi="Verdana" w:cs="Verdana"/>
          <w:color w:val="000000"/>
          <w:sz w:val="20"/>
          <w:szCs w:val="20"/>
        </w:rPr>
        <w:t xml:space="preserve"> In contrast, </w:t>
      </w:r>
      <w:r w:rsidR="00AA12BC" w:rsidRPr="00AA12BC">
        <w:rPr>
          <w:rFonts w:ascii="Verdana" w:eastAsiaTheme="minorHAnsi" w:hAnsi="Verdana" w:cs="Verdana"/>
          <w:color w:val="000000"/>
          <w:sz w:val="20"/>
          <w:szCs w:val="20"/>
        </w:rPr>
        <w:t xml:space="preserve">chlorinated paraffins produced in China are differentiated based on their chlorine content </w:t>
      </w:r>
      <w:r w:rsidR="00AA12BC">
        <w:rPr>
          <w:rFonts w:ascii="Verdana" w:eastAsiaTheme="minorHAnsi" w:hAnsi="Verdana" w:cs="Verdana"/>
          <w:color w:val="000000"/>
          <w:sz w:val="20"/>
          <w:szCs w:val="20"/>
        </w:rPr>
        <w:t xml:space="preserve">(or viscosity) </w:t>
      </w:r>
      <w:r w:rsidR="00AA12BC" w:rsidRPr="00AA12BC">
        <w:rPr>
          <w:rFonts w:ascii="Verdana" w:eastAsiaTheme="minorHAnsi" w:hAnsi="Verdana" w:cs="Verdana"/>
          <w:color w:val="000000"/>
          <w:sz w:val="20"/>
          <w:szCs w:val="20"/>
        </w:rPr>
        <w:t>rather than by the carbon chain lengths of their constituent congeners.</w:t>
      </w:r>
    </w:p>
    <w:p w14:paraId="20A58B65" w14:textId="3ACE4870" w:rsidR="00A96619" w:rsidRPr="00A96619" w:rsidRDefault="00A96619" w:rsidP="00A96619">
      <w:pPr>
        <w:spacing w:after="200"/>
        <w:jc w:val="both"/>
        <w:rPr>
          <w:rFonts w:ascii="Verdana" w:hAnsi="Verdana"/>
          <w:sz w:val="20"/>
          <w:szCs w:val="22"/>
          <w:lang w:val="en-GB" w:eastAsia="en-GB"/>
        </w:rPr>
      </w:pPr>
      <w:r w:rsidRPr="00A96619">
        <w:rPr>
          <w:rFonts w:ascii="Verdana" w:hAnsi="Verdana"/>
          <w:sz w:val="20"/>
          <w:szCs w:val="22"/>
          <w:lang w:val="en-GB" w:eastAsia="en-GB"/>
        </w:rPr>
        <w:t xml:space="preserve">Around forty CAS numbers have been used to describe the whole chlorinated paraffin family. Some of these are now historical, and others may be in use for the sole purpose of compliance with national or regional chemical inventories. It is </w:t>
      </w:r>
      <w:r w:rsidRPr="00A96619">
        <w:rPr>
          <w:rFonts w:ascii="Verdana" w:hAnsi="Verdana"/>
          <w:sz w:val="20"/>
          <w:szCs w:val="22"/>
          <w:lang w:val="en-GB" w:eastAsia="en-GB"/>
        </w:rPr>
        <w:lastRenderedPageBreak/>
        <w:t>possible that some may contain chlorinated alkanes in the C</w:t>
      </w:r>
      <w:r w:rsidRPr="00A96619">
        <w:rPr>
          <w:rFonts w:ascii="Verdana" w:hAnsi="Verdana"/>
          <w:sz w:val="20"/>
          <w:szCs w:val="22"/>
          <w:vertAlign w:val="subscript"/>
          <w:lang w:val="en-GB" w:eastAsia="en-GB"/>
        </w:rPr>
        <w:t>14</w:t>
      </w:r>
      <w:r w:rsidRPr="00A96619">
        <w:rPr>
          <w:rFonts w:ascii="Verdana" w:hAnsi="Verdana"/>
          <w:sz w:val="20"/>
          <w:szCs w:val="22"/>
          <w:lang w:val="en-GB" w:eastAsia="en-GB"/>
        </w:rPr>
        <w:t xml:space="preserve"> to C</w:t>
      </w:r>
      <w:r w:rsidRPr="00A96619">
        <w:rPr>
          <w:rFonts w:ascii="Verdana" w:hAnsi="Verdana"/>
          <w:sz w:val="20"/>
          <w:szCs w:val="22"/>
          <w:vertAlign w:val="subscript"/>
          <w:lang w:val="en-GB" w:eastAsia="en-GB"/>
        </w:rPr>
        <w:t>17</w:t>
      </w:r>
      <w:r w:rsidRPr="00A96619">
        <w:rPr>
          <w:rFonts w:ascii="Verdana" w:hAnsi="Verdana"/>
          <w:sz w:val="20"/>
          <w:szCs w:val="22"/>
          <w:lang w:val="en-GB" w:eastAsia="en-GB"/>
        </w:rPr>
        <w:t xml:space="preserve"> range,</w:t>
      </w:r>
      <w:r w:rsidR="00607BBD">
        <w:rPr>
          <w:rFonts w:ascii="Verdana" w:hAnsi="Verdana"/>
          <w:sz w:val="20"/>
          <w:szCs w:val="22"/>
          <w:lang w:val="en-GB" w:eastAsia="en-GB"/>
        </w:rPr>
        <w:t xml:space="preserve"> and</w:t>
      </w:r>
      <w:r w:rsidRPr="00A96619">
        <w:rPr>
          <w:rFonts w:ascii="Verdana" w:hAnsi="Verdana"/>
          <w:sz w:val="20"/>
          <w:szCs w:val="22"/>
          <w:lang w:val="en-GB" w:eastAsia="en-GB"/>
        </w:rPr>
        <w:t xml:space="preserve"> these are presented in the following table (</w:t>
      </w:r>
      <w:r w:rsidR="00E911C1" w:rsidRPr="00E911C1">
        <w:rPr>
          <w:rFonts w:ascii="Verdana" w:hAnsi="Verdana"/>
          <w:sz w:val="20"/>
          <w:szCs w:val="20"/>
          <w:lang w:val="en-GB" w:eastAsia="en-GB"/>
        </w:rPr>
        <w:fldChar w:fldCharType="begin"/>
      </w:r>
      <w:r w:rsidR="00E911C1" w:rsidRPr="00E911C1">
        <w:rPr>
          <w:rFonts w:ascii="Verdana" w:hAnsi="Verdana"/>
          <w:sz w:val="20"/>
          <w:szCs w:val="20"/>
          <w:lang w:val="en-GB" w:eastAsia="en-GB"/>
        </w:rPr>
        <w:instrText xml:space="preserve"> TA </w:instrText>
      </w:r>
      <w:r w:rsidR="00E911C1" w:rsidRPr="00E911C1">
        <w:rPr>
          <w:rFonts w:ascii="Verdana" w:hAnsi="Verdana"/>
          <w:sz w:val="20"/>
          <w:szCs w:val="20"/>
          <w:lang w:val="en-GB" w:eastAsia="en-GB"/>
        </w:rPr>
        <w:fldChar w:fldCharType="end"/>
      </w:r>
      <w:r w:rsidR="00E911C1" w:rsidRPr="00E911C1">
        <w:rPr>
          <w:rFonts w:ascii="Verdana" w:hAnsi="Verdana"/>
          <w:sz w:val="20"/>
          <w:szCs w:val="20"/>
          <w:lang w:val="en-GB" w:eastAsia="en-GB"/>
        </w:rPr>
        <w:fldChar w:fldCharType="begin"/>
      </w:r>
      <w:r w:rsidR="00E911C1" w:rsidRPr="00E911C1">
        <w:rPr>
          <w:rFonts w:ascii="Verdana" w:hAnsi="Verdana"/>
          <w:sz w:val="20"/>
          <w:szCs w:val="20"/>
          <w:lang w:val="en-GB" w:eastAsia="en-GB"/>
        </w:rPr>
        <w:instrText xml:space="preserve"> REF _Ref23860181 \h </w:instrText>
      </w:r>
      <w:r w:rsidR="00E911C1">
        <w:rPr>
          <w:rFonts w:ascii="Verdana" w:hAnsi="Verdana"/>
          <w:sz w:val="20"/>
          <w:szCs w:val="20"/>
          <w:lang w:val="en-GB" w:eastAsia="en-GB"/>
        </w:rPr>
        <w:instrText xml:space="preserve"> \* MERGEFORMAT </w:instrText>
      </w:r>
      <w:r w:rsidR="00E911C1" w:rsidRPr="00E911C1">
        <w:rPr>
          <w:rFonts w:ascii="Verdana" w:hAnsi="Verdana"/>
          <w:sz w:val="20"/>
          <w:szCs w:val="20"/>
          <w:lang w:val="en-GB" w:eastAsia="en-GB"/>
        </w:rPr>
      </w:r>
      <w:r w:rsidR="00E911C1" w:rsidRPr="00E911C1">
        <w:rPr>
          <w:rFonts w:ascii="Verdana" w:hAnsi="Verdana"/>
          <w:sz w:val="20"/>
          <w:szCs w:val="20"/>
          <w:lang w:val="en-GB" w:eastAsia="en-GB"/>
        </w:rPr>
        <w:fldChar w:fldCharType="separate"/>
      </w:r>
      <w:r w:rsidR="00E911C1" w:rsidRPr="00E911C1">
        <w:rPr>
          <w:rFonts w:ascii="Verdana" w:hAnsi="Verdana"/>
          <w:sz w:val="20"/>
          <w:szCs w:val="20"/>
        </w:rPr>
        <w:t xml:space="preserve">Table </w:t>
      </w:r>
      <w:r w:rsidR="00E911C1" w:rsidRPr="00E911C1">
        <w:rPr>
          <w:rFonts w:ascii="Verdana" w:hAnsi="Verdana"/>
          <w:noProof/>
          <w:sz w:val="20"/>
          <w:szCs w:val="20"/>
        </w:rPr>
        <w:t>2</w:t>
      </w:r>
      <w:r w:rsidR="00E911C1" w:rsidRPr="00E911C1">
        <w:rPr>
          <w:rFonts w:ascii="Verdana" w:hAnsi="Verdana"/>
          <w:sz w:val="20"/>
          <w:szCs w:val="20"/>
          <w:lang w:val="en-GB" w:eastAsia="en-GB"/>
        </w:rPr>
        <w:fldChar w:fldCharType="end"/>
      </w:r>
      <w:r w:rsidRPr="00A96619">
        <w:rPr>
          <w:rFonts w:ascii="Verdana" w:hAnsi="Verdana"/>
          <w:sz w:val="20"/>
          <w:szCs w:val="22"/>
          <w:lang w:val="en-GB" w:eastAsia="en-GB"/>
        </w:rPr>
        <w:t>; this is not necessarily exhaustive).</w:t>
      </w:r>
    </w:p>
    <w:p w14:paraId="39B969C0" w14:textId="3AF86F5E" w:rsidR="00DC49AE" w:rsidRPr="005B26B9" w:rsidRDefault="00E911C1" w:rsidP="00E911C1">
      <w:pPr>
        <w:pStyle w:val="Caption"/>
        <w:ind w:left="0"/>
        <w:rPr>
          <w:rFonts w:ascii="Verdana" w:hAnsi="Verdana"/>
          <w:b/>
          <w:sz w:val="20"/>
        </w:rPr>
      </w:pPr>
      <w:bookmarkStart w:id="10" w:name="_Ref23860181"/>
      <w:r w:rsidRPr="005B26B9">
        <w:rPr>
          <w:rFonts w:ascii="Verdana" w:hAnsi="Verdana"/>
          <w:b/>
          <w:sz w:val="20"/>
        </w:rPr>
        <w:t xml:space="preserve">Table </w:t>
      </w:r>
      <w:r w:rsidRPr="005B26B9">
        <w:rPr>
          <w:rFonts w:ascii="Verdana" w:hAnsi="Verdana"/>
          <w:b/>
          <w:sz w:val="20"/>
        </w:rPr>
        <w:fldChar w:fldCharType="begin"/>
      </w:r>
      <w:r w:rsidRPr="005B26B9">
        <w:rPr>
          <w:rFonts w:ascii="Verdana" w:hAnsi="Verdana"/>
          <w:b/>
          <w:sz w:val="20"/>
        </w:rPr>
        <w:instrText xml:space="preserve"> SEQ Table \* ARABIC </w:instrText>
      </w:r>
      <w:r w:rsidRPr="005B26B9">
        <w:rPr>
          <w:rFonts w:ascii="Verdana" w:hAnsi="Verdana"/>
          <w:b/>
          <w:sz w:val="20"/>
        </w:rPr>
        <w:fldChar w:fldCharType="separate"/>
      </w:r>
      <w:r w:rsidR="005C355A">
        <w:rPr>
          <w:rFonts w:ascii="Verdana" w:hAnsi="Verdana"/>
          <w:b/>
          <w:noProof/>
          <w:sz w:val="20"/>
        </w:rPr>
        <w:t>2</w:t>
      </w:r>
      <w:r w:rsidRPr="005B26B9">
        <w:rPr>
          <w:rFonts w:ascii="Verdana" w:hAnsi="Verdana"/>
          <w:b/>
          <w:sz w:val="20"/>
        </w:rPr>
        <w:fldChar w:fldCharType="end"/>
      </w:r>
      <w:bookmarkEnd w:id="10"/>
    </w:p>
    <w:tbl>
      <w:tblPr>
        <w:tblW w:w="5017" w:type="pct"/>
        <w:tblInd w:w="-5" w:type="dxa"/>
        <w:tblBorders>
          <w:top w:val="single" w:sz="4" w:space="0" w:color="0046AD"/>
          <w:left w:val="single" w:sz="4" w:space="0" w:color="0046AD"/>
          <w:bottom w:val="single" w:sz="4" w:space="0" w:color="0046AD"/>
          <w:right w:val="single" w:sz="4" w:space="0" w:color="0046AD"/>
          <w:insideV w:val="single" w:sz="4" w:space="0" w:color="0046AD"/>
        </w:tblBorders>
        <w:tblCellMar>
          <w:top w:w="85" w:type="dxa"/>
          <w:left w:w="85" w:type="dxa"/>
          <w:bottom w:w="85" w:type="dxa"/>
          <w:right w:w="85" w:type="dxa"/>
        </w:tblCellMar>
        <w:tblLook w:val="01E0" w:firstRow="1" w:lastRow="1" w:firstColumn="1" w:lastColumn="1" w:noHBand="0" w:noVBand="0"/>
      </w:tblPr>
      <w:tblGrid>
        <w:gridCol w:w="3006"/>
        <w:gridCol w:w="2602"/>
        <w:gridCol w:w="2722"/>
      </w:tblGrid>
      <w:tr w:rsidR="00A96619" w:rsidRPr="00DC0A78" w14:paraId="72F2CFE7" w14:textId="77777777" w:rsidTr="00607BBD">
        <w:tc>
          <w:tcPr>
            <w:tcW w:w="5000" w:type="pct"/>
            <w:gridSpan w:val="3"/>
            <w:tcBorders>
              <w:top w:val="nil"/>
              <w:bottom w:val="single" w:sz="4" w:space="0" w:color="0046AD"/>
            </w:tcBorders>
            <w:shd w:val="clear" w:color="auto" w:fill="0046AD"/>
          </w:tcPr>
          <w:p w14:paraId="303EC405" w14:textId="59E66019" w:rsidR="00A96619" w:rsidRPr="00DC0A78" w:rsidRDefault="00A96619" w:rsidP="00273A74">
            <w:pPr>
              <w:pStyle w:val="Tabletext0"/>
              <w:jc w:val="both"/>
              <w:rPr>
                <w:b/>
                <w:color w:val="FFFFFF"/>
              </w:rPr>
            </w:pPr>
            <w:r w:rsidRPr="00DC0A78">
              <w:rPr>
                <w:b/>
                <w:color w:val="FFCC00"/>
                <w:szCs w:val="18"/>
              </w:rPr>
              <w:t xml:space="preserve">OTHER CAS NUMBERS ASSOCIATED WITH </w:t>
            </w:r>
            <w:r w:rsidR="000578F2">
              <w:rPr>
                <w:b/>
                <w:color w:val="FFCC00"/>
                <w:szCs w:val="18"/>
              </w:rPr>
              <w:t>MCCPs</w:t>
            </w:r>
          </w:p>
        </w:tc>
      </w:tr>
      <w:tr w:rsidR="00A96619" w:rsidRPr="00DC0A78" w14:paraId="39260A13" w14:textId="77777777" w:rsidTr="00607BBD">
        <w:tc>
          <w:tcPr>
            <w:tcW w:w="1804" w:type="pct"/>
            <w:tcBorders>
              <w:top w:val="nil"/>
              <w:bottom w:val="single" w:sz="4" w:space="0" w:color="0046AD"/>
            </w:tcBorders>
            <w:shd w:val="clear" w:color="auto" w:fill="0046AD"/>
          </w:tcPr>
          <w:p w14:paraId="681EB3D2" w14:textId="77777777" w:rsidR="00A96619" w:rsidRPr="00DC0A78" w:rsidRDefault="00A96619" w:rsidP="001249F9">
            <w:pPr>
              <w:pStyle w:val="Tabletext0"/>
              <w:jc w:val="both"/>
              <w:rPr>
                <w:b/>
                <w:color w:val="FFFFFF"/>
              </w:rPr>
            </w:pPr>
            <w:r w:rsidRPr="00DC0A78">
              <w:rPr>
                <w:b/>
                <w:color w:val="FFFFFF"/>
              </w:rPr>
              <w:t>Substance</w:t>
            </w:r>
          </w:p>
        </w:tc>
        <w:tc>
          <w:tcPr>
            <w:tcW w:w="1562" w:type="pct"/>
            <w:tcBorders>
              <w:top w:val="nil"/>
              <w:bottom w:val="single" w:sz="4" w:space="0" w:color="0046AD"/>
            </w:tcBorders>
            <w:shd w:val="clear" w:color="auto" w:fill="0046AD"/>
          </w:tcPr>
          <w:p w14:paraId="7CE5767F" w14:textId="77777777" w:rsidR="00A96619" w:rsidRPr="00DC0A78" w:rsidRDefault="00A96619" w:rsidP="00607BBD">
            <w:pPr>
              <w:pStyle w:val="Tabletext0"/>
              <w:jc w:val="center"/>
              <w:rPr>
                <w:b/>
                <w:color w:val="FFFFFF"/>
              </w:rPr>
            </w:pPr>
            <w:r w:rsidRPr="00DC0A78">
              <w:rPr>
                <w:b/>
                <w:color w:val="FFFFFF"/>
              </w:rPr>
              <w:t>CAS number</w:t>
            </w:r>
          </w:p>
        </w:tc>
        <w:tc>
          <w:tcPr>
            <w:tcW w:w="1634" w:type="pct"/>
            <w:tcBorders>
              <w:top w:val="nil"/>
              <w:bottom w:val="single" w:sz="4" w:space="0" w:color="0046AD"/>
            </w:tcBorders>
            <w:shd w:val="clear" w:color="auto" w:fill="0046AD"/>
          </w:tcPr>
          <w:p w14:paraId="09FFE5F8" w14:textId="77777777" w:rsidR="00A96619" w:rsidRPr="00DC0A78" w:rsidRDefault="00A96619" w:rsidP="00607BBD">
            <w:pPr>
              <w:pStyle w:val="Tabletext0"/>
              <w:jc w:val="center"/>
              <w:rPr>
                <w:b/>
                <w:color w:val="FFFFFF"/>
              </w:rPr>
            </w:pPr>
            <w:r w:rsidRPr="00DC0A78">
              <w:rPr>
                <w:b/>
                <w:color w:val="FFFFFF"/>
              </w:rPr>
              <w:t>EC number</w:t>
            </w:r>
          </w:p>
        </w:tc>
      </w:tr>
      <w:tr w:rsidR="00A96619" w:rsidRPr="00DC0A78" w14:paraId="55D077C1" w14:textId="77777777" w:rsidTr="00607BBD">
        <w:tc>
          <w:tcPr>
            <w:tcW w:w="1804" w:type="pct"/>
            <w:tcBorders>
              <w:top w:val="single" w:sz="4" w:space="0" w:color="0046AD"/>
              <w:bottom w:val="single" w:sz="4" w:space="0" w:color="0046AD"/>
            </w:tcBorders>
            <w:shd w:val="clear" w:color="auto" w:fill="auto"/>
            <w:vAlign w:val="center"/>
          </w:tcPr>
          <w:p w14:paraId="035D5079" w14:textId="77777777" w:rsidR="00A96619" w:rsidRPr="00DC0A78" w:rsidRDefault="00A96619" w:rsidP="001249F9">
            <w:pPr>
              <w:pStyle w:val="Tabletext0"/>
              <w:jc w:val="both"/>
              <w:rPr>
                <w:color w:val="000000"/>
              </w:rPr>
            </w:pPr>
            <w:r w:rsidRPr="00DC0A78">
              <w:rPr>
                <w:color w:val="000000"/>
              </w:rPr>
              <w:t>Alkanes, chloro</w:t>
            </w:r>
          </w:p>
        </w:tc>
        <w:tc>
          <w:tcPr>
            <w:tcW w:w="1562" w:type="pct"/>
            <w:tcBorders>
              <w:top w:val="single" w:sz="4" w:space="0" w:color="0046AD"/>
              <w:bottom w:val="single" w:sz="4" w:space="0" w:color="0046AD"/>
            </w:tcBorders>
            <w:shd w:val="clear" w:color="auto" w:fill="auto"/>
            <w:vAlign w:val="center"/>
          </w:tcPr>
          <w:p w14:paraId="2DE4F611" w14:textId="77777777" w:rsidR="00A96619" w:rsidRPr="00DC0A78" w:rsidRDefault="00A96619" w:rsidP="00607BBD">
            <w:pPr>
              <w:pStyle w:val="Tabletext0"/>
              <w:jc w:val="center"/>
              <w:rPr>
                <w:color w:val="000000"/>
              </w:rPr>
            </w:pPr>
            <w:r w:rsidRPr="00DC0A78">
              <w:rPr>
                <w:color w:val="000000"/>
              </w:rPr>
              <w:t>61788</w:t>
            </w:r>
            <w:r>
              <w:t>-</w:t>
            </w:r>
            <w:r w:rsidRPr="00DC0A78">
              <w:rPr>
                <w:color w:val="000000"/>
              </w:rPr>
              <w:t>76</w:t>
            </w:r>
            <w:r>
              <w:t>-</w:t>
            </w:r>
            <w:r w:rsidRPr="00DC0A78">
              <w:rPr>
                <w:color w:val="000000"/>
              </w:rPr>
              <w:t>9</w:t>
            </w:r>
          </w:p>
        </w:tc>
        <w:tc>
          <w:tcPr>
            <w:tcW w:w="1634" w:type="pct"/>
            <w:tcBorders>
              <w:top w:val="single" w:sz="4" w:space="0" w:color="0046AD"/>
              <w:bottom w:val="single" w:sz="4" w:space="0" w:color="0046AD"/>
            </w:tcBorders>
            <w:shd w:val="clear" w:color="auto" w:fill="auto"/>
            <w:vAlign w:val="center"/>
          </w:tcPr>
          <w:p w14:paraId="43C0C849" w14:textId="77777777" w:rsidR="00A96619" w:rsidRPr="00DC0A78" w:rsidRDefault="00A96619" w:rsidP="00607BBD">
            <w:pPr>
              <w:pStyle w:val="Tabletext0"/>
              <w:jc w:val="center"/>
              <w:rPr>
                <w:color w:val="000000"/>
              </w:rPr>
            </w:pPr>
            <w:r w:rsidRPr="00DC0A78">
              <w:rPr>
                <w:color w:val="000000"/>
              </w:rPr>
              <w:t>263</w:t>
            </w:r>
            <w:r>
              <w:t>-</w:t>
            </w:r>
            <w:r w:rsidRPr="00DC0A78">
              <w:rPr>
                <w:color w:val="000000"/>
              </w:rPr>
              <w:t>004</w:t>
            </w:r>
            <w:r>
              <w:t>-</w:t>
            </w:r>
            <w:r w:rsidRPr="00DC0A78">
              <w:rPr>
                <w:color w:val="000000"/>
              </w:rPr>
              <w:t>3</w:t>
            </w:r>
          </w:p>
        </w:tc>
      </w:tr>
      <w:tr w:rsidR="000B44FA" w:rsidRPr="00DC0A78" w14:paraId="43206535" w14:textId="77777777" w:rsidTr="00607BBD">
        <w:tc>
          <w:tcPr>
            <w:tcW w:w="1804" w:type="pct"/>
            <w:tcBorders>
              <w:top w:val="single" w:sz="4" w:space="0" w:color="0046AD"/>
              <w:bottom w:val="single" w:sz="4" w:space="0" w:color="0046AD"/>
            </w:tcBorders>
            <w:shd w:val="clear" w:color="auto" w:fill="auto"/>
            <w:vAlign w:val="center"/>
          </w:tcPr>
          <w:p w14:paraId="57574FED" w14:textId="5315E781" w:rsidR="000B44FA" w:rsidRPr="00DC0A78" w:rsidRDefault="000B44FA" w:rsidP="001249F9">
            <w:pPr>
              <w:pStyle w:val="Tabletext0"/>
              <w:jc w:val="both"/>
              <w:rPr>
                <w:color w:val="000000"/>
              </w:rPr>
            </w:pPr>
            <w:r w:rsidRPr="00DC0A78">
              <w:t>Alkanes, C</w:t>
            </w:r>
            <w:r w:rsidRPr="00DC0A78">
              <w:rPr>
                <w:vertAlign w:val="subscript"/>
              </w:rPr>
              <w:t>6</w:t>
            </w:r>
            <w:r>
              <w:rPr>
                <w:vertAlign w:val="subscript"/>
              </w:rPr>
              <w:t>-</w:t>
            </w:r>
            <w:r w:rsidRPr="00BB3433">
              <w:rPr>
                <w:vertAlign w:val="subscript"/>
              </w:rPr>
              <w:t>1</w:t>
            </w:r>
            <w:r w:rsidRPr="00DC0A78">
              <w:rPr>
                <w:vertAlign w:val="subscript"/>
              </w:rPr>
              <w:t>8</w:t>
            </w:r>
            <w:r w:rsidRPr="00DC0A78">
              <w:t>, chloro</w:t>
            </w:r>
          </w:p>
        </w:tc>
        <w:tc>
          <w:tcPr>
            <w:tcW w:w="1562" w:type="pct"/>
            <w:tcBorders>
              <w:top w:val="single" w:sz="4" w:space="0" w:color="0046AD"/>
              <w:bottom w:val="single" w:sz="4" w:space="0" w:color="0046AD"/>
            </w:tcBorders>
            <w:shd w:val="clear" w:color="auto" w:fill="auto"/>
            <w:vAlign w:val="center"/>
          </w:tcPr>
          <w:p w14:paraId="4BA21A9A" w14:textId="7B2DAE8F" w:rsidR="000B44FA" w:rsidRPr="00DC0A78" w:rsidRDefault="000B44FA" w:rsidP="00607BBD">
            <w:pPr>
              <w:pStyle w:val="Tabletext0"/>
              <w:jc w:val="center"/>
              <w:rPr>
                <w:color w:val="000000"/>
              </w:rPr>
            </w:pPr>
            <w:r w:rsidRPr="00DC0A78">
              <w:t>68920</w:t>
            </w:r>
            <w:r>
              <w:t>-</w:t>
            </w:r>
            <w:r w:rsidRPr="00DC0A78">
              <w:t>70</w:t>
            </w:r>
            <w:r>
              <w:t>-</w:t>
            </w:r>
            <w:r w:rsidRPr="00DC0A78">
              <w:t>7</w:t>
            </w:r>
          </w:p>
        </w:tc>
        <w:tc>
          <w:tcPr>
            <w:tcW w:w="1634" w:type="pct"/>
            <w:tcBorders>
              <w:top w:val="single" w:sz="4" w:space="0" w:color="0046AD"/>
              <w:bottom w:val="single" w:sz="4" w:space="0" w:color="0046AD"/>
            </w:tcBorders>
            <w:shd w:val="clear" w:color="auto" w:fill="auto"/>
            <w:vAlign w:val="center"/>
          </w:tcPr>
          <w:p w14:paraId="24E3682E" w14:textId="1F50C3F6" w:rsidR="000B44FA" w:rsidRPr="00DC0A78" w:rsidRDefault="000B44FA" w:rsidP="00607BBD">
            <w:pPr>
              <w:pStyle w:val="Tabletext0"/>
              <w:jc w:val="center"/>
              <w:rPr>
                <w:color w:val="000000"/>
              </w:rPr>
            </w:pPr>
            <w:r w:rsidRPr="00DC0A78">
              <w:t>272</w:t>
            </w:r>
            <w:r>
              <w:t>-</w:t>
            </w:r>
            <w:r w:rsidRPr="00DC0A78">
              <w:t>924</w:t>
            </w:r>
            <w:r>
              <w:t>-</w:t>
            </w:r>
            <w:r w:rsidRPr="00DC0A78">
              <w:t>4</w:t>
            </w:r>
          </w:p>
        </w:tc>
      </w:tr>
      <w:tr w:rsidR="00A96619" w:rsidRPr="00DC0A78" w14:paraId="04414261" w14:textId="77777777" w:rsidTr="00607BBD">
        <w:tc>
          <w:tcPr>
            <w:tcW w:w="1804" w:type="pct"/>
            <w:tcBorders>
              <w:top w:val="single" w:sz="4" w:space="0" w:color="0046AD"/>
              <w:bottom w:val="single" w:sz="4" w:space="0" w:color="0046AD"/>
            </w:tcBorders>
            <w:shd w:val="clear" w:color="auto" w:fill="auto"/>
            <w:vAlign w:val="center"/>
          </w:tcPr>
          <w:p w14:paraId="398EFBC8" w14:textId="77777777" w:rsidR="00A96619" w:rsidRPr="00DC0A78" w:rsidRDefault="00A96619" w:rsidP="001249F9">
            <w:pPr>
              <w:pStyle w:val="Tabletext0"/>
              <w:jc w:val="both"/>
              <w:rPr>
                <w:color w:val="000000"/>
              </w:rPr>
            </w:pPr>
            <w:r w:rsidRPr="00DC0A78">
              <w:rPr>
                <w:color w:val="000000"/>
              </w:rPr>
              <w:t>Alkanes, C</w:t>
            </w:r>
            <w:r w:rsidRPr="00DC0A78">
              <w:rPr>
                <w:color w:val="000000"/>
                <w:vertAlign w:val="subscript"/>
              </w:rPr>
              <w:t>10</w:t>
            </w:r>
            <w:r>
              <w:rPr>
                <w:vertAlign w:val="subscript"/>
              </w:rPr>
              <w:t>-</w:t>
            </w:r>
            <w:r w:rsidRPr="00DC0A78">
              <w:rPr>
                <w:color w:val="000000"/>
                <w:vertAlign w:val="subscript"/>
              </w:rPr>
              <w:t>14</w:t>
            </w:r>
            <w:r w:rsidRPr="00DC0A78">
              <w:rPr>
                <w:color w:val="000000"/>
              </w:rPr>
              <w:t>, chloro</w:t>
            </w:r>
          </w:p>
        </w:tc>
        <w:tc>
          <w:tcPr>
            <w:tcW w:w="1562" w:type="pct"/>
            <w:tcBorders>
              <w:top w:val="single" w:sz="4" w:space="0" w:color="0046AD"/>
              <w:bottom w:val="single" w:sz="4" w:space="0" w:color="0046AD"/>
            </w:tcBorders>
            <w:shd w:val="clear" w:color="auto" w:fill="auto"/>
            <w:vAlign w:val="center"/>
          </w:tcPr>
          <w:p w14:paraId="3D5E0B3D" w14:textId="77777777" w:rsidR="00A96619" w:rsidRPr="00DC0A78" w:rsidRDefault="00A96619" w:rsidP="00607BBD">
            <w:pPr>
              <w:pStyle w:val="Tabletext0"/>
              <w:jc w:val="center"/>
              <w:rPr>
                <w:color w:val="000000"/>
              </w:rPr>
            </w:pPr>
            <w:r w:rsidRPr="00DC0A78">
              <w:rPr>
                <w:color w:val="000000"/>
              </w:rPr>
              <w:t>85681</w:t>
            </w:r>
            <w:r>
              <w:t>-</w:t>
            </w:r>
            <w:r w:rsidRPr="00DC0A78">
              <w:rPr>
                <w:color w:val="000000"/>
              </w:rPr>
              <w:t>73</w:t>
            </w:r>
            <w:r>
              <w:t>-</w:t>
            </w:r>
            <w:r w:rsidRPr="00DC0A78">
              <w:rPr>
                <w:color w:val="000000"/>
              </w:rPr>
              <w:t>8</w:t>
            </w:r>
          </w:p>
        </w:tc>
        <w:tc>
          <w:tcPr>
            <w:tcW w:w="1634" w:type="pct"/>
            <w:tcBorders>
              <w:top w:val="single" w:sz="4" w:space="0" w:color="0046AD"/>
              <w:bottom w:val="single" w:sz="4" w:space="0" w:color="0046AD"/>
            </w:tcBorders>
            <w:shd w:val="clear" w:color="auto" w:fill="auto"/>
            <w:vAlign w:val="center"/>
          </w:tcPr>
          <w:p w14:paraId="5BE1E5FF" w14:textId="77777777" w:rsidR="00A96619" w:rsidRPr="00DC0A78" w:rsidRDefault="00A96619" w:rsidP="00607BBD">
            <w:pPr>
              <w:pStyle w:val="Tabletext0"/>
              <w:jc w:val="center"/>
              <w:rPr>
                <w:color w:val="000000"/>
              </w:rPr>
            </w:pPr>
            <w:r w:rsidRPr="00DC0A78">
              <w:rPr>
                <w:color w:val="000000"/>
              </w:rPr>
              <w:t>288</w:t>
            </w:r>
            <w:r>
              <w:t>-</w:t>
            </w:r>
            <w:r w:rsidRPr="00DC0A78">
              <w:rPr>
                <w:color w:val="000000"/>
              </w:rPr>
              <w:t>211</w:t>
            </w:r>
            <w:r>
              <w:t>-</w:t>
            </w:r>
            <w:r w:rsidRPr="00DC0A78">
              <w:rPr>
                <w:color w:val="000000"/>
              </w:rPr>
              <w:t>6</w:t>
            </w:r>
          </w:p>
        </w:tc>
      </w:tr>
      <w:tr w:rsidR="00A96619" w:rsidRPr="00DC0A78" w14:paraId="06BCF1BB" w14:textId="77777777" w:rsidTr="00607BBD">
        <w:tc>
          <w:tcPr>
            <w:tcW w:w="1804" w:type="pct"/>
            <w:tcBorders>
              <w:top w:val="single" w:sz="4" w:space="0" w:color="0046AD"/>
              <w:bottom w:val="single" w:sz="4" w:space="0" w:color="0046AD"/>
            </w:tcBorders>
            <w:shd w:val="clear" w:color="auto" w:fill="auto"/>
            <w:vAlign w:val="center"/>
          </w:tcPr>
          <w:p w14:paraId="569C3570" w14:textId="77777777" w:rsidR="00A96619" w:rsidRPr="00DC0A78" w:rsidRDefault="00A96619" w:rsidP="001249F9">
            <w:pPr>
              <w:pStyle w:val="Tabletext0"/>
              <w:jc w:val="both"/>
              <w:rPr>
                <w:color w:val="000000"/>
              </w:rPr>
            </w:pPr>
            <w:r w:rsidRPr="00DC0A78">
              <w:rPr>
                <w:color w:val="000000"/>
              </w:rPr>
              <w:t>Alkanes, C</w:t>
            </w:r>
            <w:r w:rsidRPr="00DC0A78">
              <w:rPr>
                <w:color w:val="000000"/>
                <w:vertAlign w:val="subscript"/>
              </w:rPr>
              <w:t>10</w:t>
            </w:r>
            <w:r>
              <w:rPr>
                <w:vertAlign w:val="subscript"/>
              </w:rPr>
              <w:t>-</w:t>
            </w:r>
            <w:r w:rsidRPr="00DC0A78">
              <w:rPr>
                <w:color w:val="000000"/>
                <w:vertAlign w:val="subscript"/>
              </w:rPr>
              <w:t>21</w:t>
            </w:r>
            <w:r w:rsidRPr="00DC0A78">
              <w:rPr>
                <w:color w:val="000000"/>
              </w:rPr>
              <w:t>, chloro</w:t>
            </w:r>
          </w:p>
        </w:tc>
        <w:tc>
          <w:tcPr>
            <w:tcW w:w="1562" w:type="pct"/>
            <w:tcBorders>
              <w:top w:val="single" w:sz="4" w:space="0" w:color="0046AD"/>
              <w:bottom w:val="single" w:sz="4" w:space="0" w:color="0046AD"/>
            </w:tcBorders>
            <w:shd w:val="clear" w:color="auto" w:fill="auto"/>
            <w:vAlign w:val="center"/>
          </w:tcPr>
          <w:p w14:paraId="41BAFE5A" w14:textId="77777777" w:rsidR="00A96619" w:rsidRPr="00DC0A78" w:rsidRDefault="00A96619" w:rsidP="00607BBD">
            <w:pPr>
              <w:pStyle w:val="Tabletext0"/>
              <w:jc w:val="center"/>
              <w:rPr>
                <w:color w:val="000000"/>
              </w:rPr>
            </w:pPr>
            <w:r w:rsidRPr="00DC0A78">
              <w:rPr>
                <w:color w:val="000000"/>
              </w:rPr>
              <w:t>84082</w:t>
            </w:r>
            <w:r>
              <w:t>-</w:t>
            </w:r>
            <w:r w:rsidRPr="00DC0A78">
              <w:rPr>
                <w:color w:val="000000"/>
              </w:rPr>
              <w:t>38</w:t>
            </w:r>
            <w:r>
              <w:t>-</w:t>
            </w:r>
            <w:r w:rsidRPr="00DC0A78">
              <w:rPr>
                <w:color w:val="000000"/>
              </w:rPr>
              <w:t>2</w:t>
            </w:r>
          </w:p>
        </w:tc>
        <w:tc>
          <w:tcPr>
            <w:tcW w:w="1634" w:type="pct"/>
            <w:tcBorders>
              <w:top w:val="single" w:sz="4" w:space="0" w:color="0046AD"/>
              <w:bottom w:val="single" w:sz="4" w:space="0" w:color="0046AD"/>
            </w:tcBorders>
            <w:shd w:val="clear" w:color="auto" w:fill="auto"/>
            <w:vAlign w:val="center"/>
          </w:tcPr>
          <w:p w14:paraId="3DBC956B" w14:textId="77777777" w:rsidR="00A96619" w:rsidRPr="00DC0A78" w:rsidRDefault="00A96619" w:rsidP="00607BBD">
            <w:pPr>
              <w:pStyle w:val="Tabletext0"/>
              <w:jc w:val="center"/>
              <w:rPr>
                <w:color w:val="000000"/>
              </w:rPr>
            </w:pPr>
            <w:r w:rsidRPr="00DC0A78">
              <w:rPr>
                <w:color w:val="000000"/>
              </w:rPr>
              <w:t>281</w:t>
            </w:r>
            <w:r>
              <w:t>-</w:t>
            </w:r>
            <w:r w:rsidRPr="00DC0A78">
              <w:rPr>
                <w:color w:val="000000"/>
              </w:rPr>
              <w:t>985</w:t>
            </w:r>
            <w:r>
              <w:t>-</w:t>
            </w:r>
            <w:r w:rsidRPr="00DC0A78">
              <w:rPr>
                <w:color w:val="000000"/>
              </w:rPr>
              <w:t>6</w:t>
            </w:r>
          </w:p>
        </w:tc>
      </w:tr>
      <w:tr w:rsidR="00A96619" w:rsidRPr="00DC0A78" w14:paraId="5818A7B9" w14:textId="77777777" w:rsidTr="00607BBD">
        <w:tc>
          <w:tcPr>
            <w:tcW w:w="1804" w:type="pct"/>
            <w:tcBorders>
              <w:top w:val="single" w:sz="4" w:space="0" w:color="0046AD"/>
              <w:bottom w:val="single" w:sz="4" w:space="0" w:color="0046AD"/>
            </w:tcBorders>
            <w:shd w:val="clear" w:color="auto" w:fill="auto"/>
            <w:vAlign w:val="center"/>
          </w:tcPr>
          <w:p w14:paraId="19924DD4" w14:textId="77777777" w:rsidR="00A96619" w:rsidRPr="00DC0A78" w:rsidRDefault="00A96619" w:rsidP="001249F9">
            <w:pPr>
              <w:pStyle w:val="Tabletext0"/>
              <w:jc w:val="both"/>
              <w:rPr>
                <w:color w:val="000000"/>
              </w:rPr>
            </w:pPr>
            <w:r w:rsidRPr="00DC0A78">
              <w:rPr>
                <w:color w:val="000000"/>
              </w:rPr>
              <w:t>Alkanes, C</w:t>
            </w:r>
            <w:r w:rsidRPr="00DC0A78">
              <w:rPr>
                <w:color w:val="000000"/>
                <w:vertAlign w:val="subscript"/>
              </w:rPr>
              <w:t>10</w:t>
            </w:r>
            <w:r>
              <w:rPr>
                <w:vertAlign w:val="subscript"/>
              </w:rPr>
              <w:t>-</w:t>
            </w:r>
            <w:r w:rsidRPr="00DC0A78">
              <w:rPr>
                <w:color w:val="000000"/>
                <w:vertAlign w:val="subscript"/>
              </w:rPr>
              <w:t>26</w:t>
            </w:r>
            <w:r w:rsidRPr="00DC0A78">
              <w:rPr>
                <w:color w:val="000000"/>
              </w:rPr>
              <w:t>, chloro</w:t>
            </w:r>
          </w:p>
        </w:tc>
        <w:tc>
          <w:tcPr>
            <w:tcW w:w="1562" w:type="pct"/>
            <w:tcBorders>
              <w:top w:val="single" w:sz="4" w:space="0" w:color="0046AD"/>
              <w:bottom w:val="single" w:sz="4" w:space="0" w:color="0046AD"/>
            </w:tcBorders>
            <w:shd w:val="clear" w:color="auto" w:fill="auto"/>
            <w:vAlign w:val="center"/>
          </w:tcPr>
          <w:p w14:paraId="1CC08F04" w14:textId="77777777" w:rsidR="00A96619" w:rsidRPr="00DC0A78" w:rsidRDefault="00A96619" w:rsidP="00607BBD">
            <w:pPr>
              <w:pStyle w:val="Tabletext0"/>
              <w:jc w:val="center"/>
              <w:rPr>
                <w:color w:val="000000"/>
              </w:rPr>
            </w:pPr>
            <w:r w:rsidRPr="00DC0A78">
              <w:rPr>
                <w:color w:val="000000"/>
              </w:rPr>
              <w:t>97659</w:t>
            </w:r>
            <w:r>
              <w:t>-</w:t>
            </w:r>
            <w:r w:rsidRPr="00DC0A78">
              <w:rPr>
                <w:color w:val="000000"/>
              </w:rPr>
              <w:t>46</w:t>
            </w:r>
            <w:r>
              <w:t>-</w:t>
            </w:r>
            <w:r w:rsidRPr="00DC0A78">
              <w:rPr>
                <w:color w:val="000000"/>
              </w:rPr>
              <w:t>6</w:t>
            </w:r>
          </w:p>
        </w:tc>
        <w:tc>
          <w:tcPr>
            <w:tcW w:w="1634" w:type="pct"/>
            <w:tcBorders>
              <w:top w:val="single" w:sz="4" w:space="0" w:color="0046AD"/>
              <w:bottom w:val="single" w:sz="4" w:space="0" w:color="0046AD"/>
            </w:tcBorders>
            <w:shd w:val="clear" w:color="auto" w:fill="auto"/>
            <w:vAlign w:val="center"/>
          </w:tcPr>
          <w:p w14:paraId="223B4D7E" w14:textId="77777777" w:rsidR="00A96619" w:rsidRPr="00DC0A78" w:rsidRDefault="00A96619" w:rsidP="00607BBD">
            <w:pPr>
              <w:pStyle w:val="Tabletext0"/>
              <w:jc w:val="center"/>
              <w:rPr>
                <w:color w:val="000000"/>
              </w:rPr>
            </w:pPr>
            <w:r w:rsidRPr="00DC0A78">
              <w:rPr>
                <w:color w:val="000000"/>
              </w:rPr>
              <w:t>307</w:t>
            </w:r>
            <w:r>
              <w:t>-</w:t>
            </w:r>
            <w:r w:rsidRPr="00DC0A78">
              <w:rPr>
                <w:color w:val="000000"/>
              </w:rPr>
              <w:t>451</w:t>
            </w:r>
            <w:r>
              <w:t>-</w:t>
            </w:r>
            <w:r w:rsidRPr="00DC0A78">
              <w:rPr>
                <w:color w:val="000000"/>
              </w:rPr>
              <w:t>5</w:t>
            </w:r>
          </w:p>
        </w:tc>
      </w:tr>
      <w:tr w:rsidR="00A96619" w:rsidRPr="00DC0A78" w14:paraId="233A3A69" w14:textId="77777777" w:rsidTr="00607BBD">
        <w:tc>
          <w:tcPr>
            <w:tcW w:w="1804" w:type="pct"/>
            <w:tcBorders>
              <w:top w:val="single" w:sz="4" w:space="0" w:color="0046AD"/>
              <w:bottom w:val="single" w:sz="4" w:space="0" w:color="0046AD"/>
            </w:tcBorders>
            <w:shd w:val="clear" w:color="auto" w:fill="auto"/>
            <w:vAlign w:val="center"/>
          </w:tcPr>
          <w:p w14:paraId="44E752F3" w14:textId="77777777" w:rsidR="00A96619" w:rsidRPr="00DC0A78" w:rsidRDefault="00A96619" w:rsidP="001249F9">
            <w:pPr>
              <w:pStyle w:val="Tabletext0"/>
              <w:jc w:val="both"/>
              <w:rPr>
                <w:color w:val="000000"/>
              </w:rPr>
            </w:pPr>
            <w:r w:rsidRPr="00DC0A78">
              <w:rPr>
                <w:color w:val="000000"/>
              </w:rPr>
              <w:t>Alkanes, C</w:t>
            </w:r>
            <w:r w:rsidRPr="00DC0A78">
              <w:rPr>
                <w:color w:val="000000"/>
                <w:vertAlign w:val="subscript"/>
              </w:rPr>
              <w:t>10</w:t>
            </w:r>
            <w:r>
              <w:rPr>
                <w:vertAlign w:val="subscript"/>
              </w:rPr>
              <w:t>-</w:t>
            </w:r>
            <w:r w:rsidRPr="00DC0A78">
              <w:rPr>
                <w:color w:val="000000"/>
                <w:vertAlign w:val="subscript"/>
              </w:rPr>
              <w:t>32</w:t>
            </w:r>
            <w:r w:rsidRPr="00DC0A78">
              <w:rPr>
                <w:color w:val="000000"/>
              </w:rPr>
              <w:t>, chloro</w:t>
            </w:r>
          </w:p>
        </w:tc>
        <w:tc>
          <w:tcPr>
            <w:tcW w:w="1562" w:type="pct"/>
            <w:tcBorders>
              <w:top w:val="single" w:sz="4" w:space="0" w:color="0046AD"/>
              <w:bottom w:val="single" w:sz="4" w:space="0" w:color="0046AD"/>
            </w:tcBorders>
            <w:shd w:val="clear" w:color="auto" w:fill="auto"/>
            <w:vAlign w:val="center"/>
          </w:tcPr>
          <w:p w14:paraId="79661FF2" w14:textId="77777777" w:rsidR="00A96619" w:rsidRPr="00DC0A78" w:rsidRDefault="00A96619" w:rsidP="00607BBD">
            <w:pPr>
              <w:pStyle w:val="Tabletext0"/>
              <w:jc w:val="center"/>
              <w:rPr>
                <w:color w:val="000000"/>
              </w:rPr>
            </w:pPr>
            <w:r w:rsidRPr="00DC0A78">
              <w:rPr>
                <w:color w:val="000000"/>
              </w:rPr>
              <w:t>84776</w:t>
            </w:r>
            <w:r>
              <w:t>-</w:t>
            </w:r>
            <w:r w:rsidRPr="00DC0A78">
              <w:rPr>
                <w:color w:val="000000"/>
              </w:rPr>
              <w:t>06</w:t>
            </w:r>
            <w:r>
              <w:t>-</w:t>
            </w:r>
            <w:r w:rsidRPr="00DC0A78">
              <w:rPr>
                <w:color w:val="000000"/>
              </w:rPr>
              <w:t>7</w:t>
            </w:r>
          </w:p>
        </w:tc>
        <w:tc>
          <w:tcPr>
            <w:tcW w:w="1634" w:type="pct"/>
            <w:tcBorders>
              <w:top w:val="single" w:sz="4" w:space="0" w:color="0046AD"/>
              <w:bottom w:val="single" w:sz="4" w:space="0" w:color="0046AD"/>
            </w:tcBorders>
            <w:shd w:val="clear" w:color="auto" w:fill="auto"/>
            <w:vAlign w:val="center"/>
          </w:tcPr>
          <w:p w14:paraId="5DE487CA" w14:textId="77777777" w:rsidR="00A96619" w:rsidRPr="00DC0A78" w:rsidRDefault="00A96619" w:rsidP="00607BBD">
            <w:pPr>
              <w:pStyle w:val="Tabletext0"/>
              <w:jc w:val="center"/>
              <w:rPr>
                <w:color w:val="000000"/>
              </w:rPr>
            </w:pPr>
            <w:r w:rsidRPr="00DC0A78">
              <w:rPr>
                <w:color w:val="000000"/>
              </w:rPr>
              <w:t>283</w:t>
            </w:r>
            <w:r>
              <w:t>-</w:t>
            </w:r>
            <w:r w:rsidRPr="00DC0A78">
              <w:rPr>
                <w:color w:val="000000"/>
              </w:rPr>
              <w:t>930</w:t>
            </w:r>
            <w:r>
              <w:t>-</w:t>
            </w:r>
            <w:r w:rsidRPr="00DC0A78">
              <w:rPr>
                <w:color w:val="000000"/>
              </w:rPr>
              <w:t>1</w:t>
            </w:r>
          </w:p>
        </w:tc>
      </w:tr>
      <w:tr w:rsidR="00A96619" w:rsidRPr="00DC0A78" w14:paraId="1D236DF0" w14:textId="77777777" w:rsidTr="00607BBD">
        <w:tc>
          <w:tcPr>
            <w:tcW w:w="1804" w:type="pct"/>
            <w:tcBorders>
              <w:top w:val="single" w:sz="4" w:space="0" w:color="0046AD"/>
              <w:bottom w:val="single" w:sz="4" w:space="0" w:color="0046AD"/>
            </w:tcBorders>
            <w:shd w:val="clear" w:color="auto" w:fill="auto"/>
          </w:tcPr>
          <w:p w14:paraId="0BDF8273" w14:textId="77777777" w:rsidR="00A96619" w:rsidRPr="00DC0A78" w:rsidRDefault="00A96619" w:rsidP="001249F9">
            <w:pPr>
              <w:pStyle w:val="Tabletext0"/>
              <w:jc w:val="both"/>
              <w:rPr>
                <w:color w:val="000000"/>
              </w:rPr>
            </w:pPr>
            <w:r w:rsidRPr="00DC0A78">
              <w:t>Alkanes, C</w:t>
            </w:r>
            <w:r w:rsidRPr="00DC0A78">
              <w:rPr>
                <w:vertAlign w:val="subscript"/>
              </w:rPr>
              <w:t>12</w:t>
            </w:r>
            <w:r>
              <w:rPr>
                <w:vertAlign w:val="subscript"/>
              </w:rPr>
              <w:t>-</w:t>
            </w:r>
            <w:r w:rsidRPr="00BB3433">
              <w:rPr>
                <w:vertAlign w:val="subscript"/>
              </w:rPr>
              <w:t>1</w:t>
            </w:r>
            <w:r w:rsidRPr="00DC0A78">
              <w:rPr>
                <w:vertAlign w:val="subscript"/>
              </w:rPr>
              <w:t>4</w:t>
            </w:r>
            <w:r w:rsidRPr="00DC0A78">
              <w:t>, chloro</w:t>
            </w:r>
          </w:p>
        </w:tc>
        <w:tc>
          <w:tcPr>
            <w:tcW w:w="1562" w:type="pct"/>
            <w:tcBorders>
              <w:top w:val="single" w:sz="4" w:space="0" w:color="0046AD"/>
              <w:bottom w:val="single" w:sz="4" w:space="0" w:color="0046AD"/>
            </w:tcBorders>
            <w:shd w:val="clear" w:color="auto" w:fill="auto"/>
          </w:tcPr>
          <w:p w14:paraId="189C2104" w14:textId="77777777" w:rsidR="00A96619" w:rsidRPr="00DC0A78" w:rsidRDefault="00A96619" w:rsidP="00607BBD">
            <w:pPr>
              <w:pStyle w:val="Tabletext0"/>
              <w:jc w:val="center"/>
              <w:rPr>
                <w:color w:val="000000"/>
              </w:rPr>
            </w:pPr>
            <w:r w:rsidRPr="00DC0A78">
              <w:t>85536</w:t>
            </w:r>
            <w:r>
              <w:t>-</w:t>
            </w:r>
            <w:r w:rsidRPr="00DC0A78">
              <w:t>22</w:t>
            </w:r>
            <w:r>
              <w:t>-</w:t>
            </w:r>
            <w:r w:rsidRPr="00DC0A78">
              <w:t>7</w:t>
            </w:r>
          </w:p>
        </w:tc>
        <w:tc>
          <w:tcPr>
            <w:tcW w:w="1634" w:type="pct"/>
            <w:tcBorders>
              <w:top w:val="single" w:sz="4" w:space="0" w:color="0046AD"/>
              <w:bottom w:val="single" w:sz="4" w:space="0" w:color="0046AD"/>
            </w:tcBorders>
            <w:shd w:val="clear" w:color="auto" w:fill="auto"/>
          </w:tcPr>
          <w:p w14:paraId="38AB4283" w14:textId="77777777" w:rsidR="00A96619" w:rsidRPr="00DC0A78" w:rsidRDefault="00A96619" w:rsidP="00607BBD">
            <w:pPr>
              <w:pStyle w:val="Tabletext0"/>
              <w:jc w:val="center"/>
              <w:rPr>
                <w:color w:val="000000"/>
              </w:rPr>
            </w:pPr>
            <w:r w:rsidRPr="00DC0A78">
              <w:t>287</w:t>
            </w:r>
            <w:r>
              <w:t>-</w:t>
            </w:r>
            <w:r w:rsidRPr="00DC0A78">
              <w:t>504</w:t>
            </w:r>
            <w:r>
              <w:t>-</w:t>
            </w:r>
            <w:r w:rsidRPr="00DC0A78">
              <w:t>6</w:t>
            </w:r>
          </w:p>
        </w:tc>
      </w:tr>
      <w:tr w:rsidR="00A96619" w:rsidRPr="00DC0A78" w14:paraId="4C752E79" w14:textId="77777777" w:rsidTr="00607BBD">
        <w:tc>
          <w:tcPr>
            <w:tcW w:w="1804" w:type="pct"/>
            <w:tcBorders>
              <w:top w:val="single" w:sz="4" w:space="0" w:color="0046AD"/>
              <w:bottom w:val="single" w:sz="4" w:space="0" w:color="0046AD"/>
            </w:tcBorders>
            <w:shd w:val="clear" w:color="auto" w:fill="auto"/>
          </w:tcPr>
          <w:p w14:paraId="733D5B90" w14:textId="77777777" w:rsidR="00A96619" w:rsidRPr="00DC0A78" w:rsidRDefault="00A96619" w:rsidP="001249F9">
            <w:pPr>
              <w:pStyle w:val="Tabletext0"/>
              <w:jc w:val="both"/>
              <w:rPr>
                <w:color w:val="000000"/>
              </w:rPr>
            </w:pPr>
            <w:r w:rsidRPr="00DC0A78">
              <w:t>Alkanes, C</w:t>
            </w:r>
            <w:r w:rsidRPr="00DC0A78">
              <w:rPr>
                <w:vertAlign w:val="subscript"/>
              </w:rPr>
              <w:t>14</w:t>
            </w:r>
            <w:r>
              <w:rPr>
                <w:vertAlign w:val="subscript"/>
              </w:rPr>
              <w:t>-</w:t>
            </w:r>
            <w:r w:rsidRPr="00BB3433">
              <w:rPr>
                <w:vertAlign w:val="subscript"/>
              </w:rPr>
              <w:t>1</w:t>
            </w:r>
            <w:r w:rsidRPr="00DC0A78">
              <w:rPr>
                <w:vertAlign w:val="subscript"/>
              </w:rPr>
              <w:t>6</w:t>
            </w:r>
            <w:r w:rsidRPr="00DC0A78">
              <w:t>, chloro</w:t>
            </w:r>
          </w:p>
        </w:tc>
        <w:tc>
          <w:tcPr>
            <w:tcW w:w="1562" w:type="pct"/>
            <w:tcBorders>
              <w:top w:val="single" w:sz="4" w:space="0" w:color="0046AD"/>
              <w:bottom w:val="single" w:sz="4" w:space="0" w:color="0046AD"/>
            </w:tcBorders>
            <w:shd w:val="clear" w:color="auto" w:fill="auto"/>
          </w:tcPr>
          <w:p w14:paraId="13EE992D" w14:textId="77777777" w:rsidR="00A96619" w:rsidRPr="00DC0A78" w:rsidRDefault="00A96619" w:rsidP="00607BBD">
            <w:pPr>
              <w:pStyle w:val="Tabletext0"/>
              <w:jc w:val="center"/>
              <w:rPr>
                <w:color w:val="000000"/>
              </w:rPr>
            </w:pPr>
            <w:r w:rsidRPr="00DC0A78">
              <w:t>1372804</w:t>
            </w:r>
            <w:r>
              <w:t>-</w:t>
            </w:r>
            <w:r w:rsidRPr="00DC0A78">
              <w:t>76</w:t>
            </w:r>
            <w:r>
              <w:t>-</w:t>
            </w:r>
            <w:r w:rsidRPr="00DC0A78">
              <w:t>6</w:t>
            </w:r>
          </w:p>
        </w:tc>
        <w:tc>
          <w:tcPr>
            <w:tcW w:w="1634" w:type="pct"/>
            <w:tcBorders>
              <w:top w:val="single" w:sz="4" w:space="0" w:color="0046AD"/>
              <w:bottom w:val="single" w:sz="4" w:space="0" w:color="0046AD"/>
            </w:tcBorders>
            <w:shd w:val="clear" w:color="auto" w:fill="auto"/>
          </w:tcPr>
          <w:p w14:paraId="4377228C" w14:textId="77777777" w:rsidR="00A96619" w:rsidRPr="00DC0A78" w:rsidRDefault="00A96619" w:rsidP="00607BBD">
            <w:pPr>
              <w:pStyle w:val="Tabletext0"/>
              <w:jc w:val="center"/>
              <w:rPr>
                <w:color w:val="000000"/>
              </w:rPr>
            </w:pPr>
            <w:r>
              <w:t>-</w:t>
            </w:r>
          </w:p>
        </w:tc>
      </w:tr>
      <w:tr w:rsidR="00607BBD" w:rsidRPr="00DC0A78" w14:paraId="227C8AA1" w14:textId="77777777" w:rsidTr="00607BBD">
        <w:trPr>
          <w:trHeight w:val="248"/>
        </w:trPr>
        <w:tc>
          <w:tcPr>
            <w:tcW w:w="1804" w:type="pct"/>
            <w:tcBorders>
              <w:top w:val="single" w:sz="4" w:space="0" w:color="0046AD"/>
              <w:bottom w:val="single" w:sz="4" w:space="0" w:color="0046AD"/>
            </w:tcBorders>
            <w:shd w:val="clear" w:color="auto" w:fill="auto"/>
          </w:tcPr>
          <w:p w14:paraId="0BFA7593" w14:textId="0A116A80" w:rsidR="00607BBD" w:rsidRPr="00DC0A78" w:rsidRDefault="0066361A" w:rsidP="001249F9">
            <w:pPr>
              <w:pStyle w:val="Tabletext0"/>
              <w:jc w:val="both"/>
            </w:pPr>
            <w:hyperlink r:id="rId23" w:history="1">
              <w:r w:rsidR="00607BBD" w:rsidRPr="00427D66">
                <w:t>Alkanes, C</w:t>
              </w:r>
              <w:r w:rsidR="00607BBD" w:rsidRPr="00607BBD">
                <w:rPr>
                  <w:vertAlign w:val="subscript"/>
                </w:rPr>
                <w:t>16-27</w:t>
              </w:r>
              <w:r w:rsidR="00607BBD" w:rsidRPr="00427D66">
                <w:t xml:space="preserve">, chloro </w:t>
              </w:r>
            </w:hyperlink>
          </w:p>
        </w:tc>
        <w:tc>
          <w:tcPr>
            <w:tcW w:w="1562" w:type="pct"/>
            <w:tcBorders>
              <w:top w:val="single" w:sz="4" w:space="0" w:color="0046AD"/>
              <w:bottom w:val="single" w:sz="4" w:space="0" w:color="0046AD"/>
            </w:tcBorders>
            <w:shd w:val="clear" w:color="auto" w:fill="auto"/>
          </w:tcPr>
          <w:p w14:paraId="227D3B22" w14:textId="0D9571D0" w:rsidR="00607BBD" w:rsidRPr="00DC0A78" w:rsidRDefault="00607BBD" w:rsidP="00607BBD">
            <w:pPr>
              <w:pStyle w:val="Tabletext0"/>
              <w:jc w:val="center"/>
            </w:pPr>
            <w:r w:rsidRPr="00427D66">
              <w:t>84776-07-8</w:t>
            </w:r>
          </w:p>
        </w:tc>
        <w:tc>
          <w:tcPr>
            <w:tcW w:w="1634" w:type="pct"/>
            <w:tcBorders>
              <w:top w:val="single" w:sz="4" w:space="0" w:color="0046AD"/>
              <w:bottom w:val="single" w:sz="4" w:space="0" w:color="0046AD"/>
            </w:tcBorders>
            <w:shd w:val="clear" w:color="auto" w:fill="auto"/>
          </w:tcPr>
          <w:p w14:paraId="395239B4" w14:textId="6CFF19B6" w:rsidR="00607BBD" w:rsidRDefault="00607BBD" w:rsidP="00607BBD">
            <w:pPr>
              <w:pStyle w:val="Tabletext0"/>
              <w:jc w:val="center"/>
            </w:pPr>
            <w:r w:rsidRPr="00427D66">
              <w:t>283-931-7</w:t>
            </w:r>
          </w:p>
        </w:tc>
      </w:tr>
      <w:tr w:rsidR="00607BBD" w:rsidRPr="00DC0A78" w14:paraId="71022389" w14:textId="77777777" w:rsidTr="00607BBD">
        <w:tc>
          <w:tcPr>
            <w:tcW w:w="1804" w:type="pct"/>
            <w:tcBorders>
              <w:top w:val="single" w:sz="4" w:space="0" w:color="0046AD"/>
              <w:bottom w:val="single" w:sz="4" w:space="0" w:color="0046AD"/>
            </w:tcBorders>
            <w:shd w:val="clear" w:color="auto" w:fill="auto"/>
          </w:tcPr>
          <w:p w14:paraId="5B4DD016" w14:textId="592F6194" w:rsidR="00607BBD" w:rsidRPr="00DC0A78" w:rsidRDefault="0066361A" w:rsidP="001249F9">
            <w:pPr>
              <w:pStyle w:val="Tabletext0"/>
              <w:jc w:val="both"/>
            </w:pPr>
            <w:hyperlink r:id="rId24" w:history="1">
              <w:r w:rsidR="00607BBD" w:rsidRPr="00427D66">
                <w:t>Alkanes, C</w:t>
              </w:r>
              <w:r w:rsidR="00607BBD" w:rsidRPr="00607BBD">
                <w:rPr>
                  <w:vertAlign w:val="subscript"/>
                </w:rPr>
                <w:t>16-35</w:t>
              </w:r>
              <w:r w:rsidR="00607BBD" w:rsidRPr="00427D66">
                <w:t xml:space="preserve">, chloro </w:t>
              </w:r>
            </w:hyperlink>
          </w:p>
        </w:tc>
        <w:tc>
          <w:tcPr>
            <w:tcW w:w="1562" w:type="pct"/>
            <w:tcBorders>
              <w:top w:val="single" w:sz="4" w:space="0" w:color="0046AD"/>
              <w:bottom w:val="single" w:sz="4" w:space="0" w:color="0046AD"/>
            </w:tcBorders>
            <w:shd w:val="clear" w:color="auto" w:fill="auto"/>
          </w:tcPr>
          <w:p w14:paraId="5334BE72" w14:textId="6AC453E6" w:rsidR="00607BBD" w:rsidRPr="00DC0A78" w:rsidRDefault="00607BBD" w:rsidP="00607BBD">
            <w:pPr>
              <w:pStyle w:val="Tabletext0"/>
              <w:jc w:val="center"/>
            </w:pPr>
            <w:r w:rsidRPr="00427D66">
              <w:t>85049-26-</w:t>
            </w:r>
            <w:r>
              <w:t>9</w:t>
            </w:r>
          </w:p>
        </w:tc>
        <w:tc>
          <w:tcPr>
            <w:tcW w:w="1634" w:type="pct"/>
            <w:tcBorders>
              <w:top w:val="single" w:sz="4" w:space="0" w:color="0046AD"/>
              <w:bottom w:val="single" w:sz="4" w:space="0" w:color="0046AD"/>
            </w:tcBorders>
            <w:shd w:val="clear" w:color="auto" w:fill="auto"/>
          </w:tcPr>
          <w:p w14:paraId="297B0F2E" w14:textId="0F0FB134" w:rsidR="00607BBD" w:rsidRDefault="00607BBD" w:rsidP="00607BBD">
            <w:pPr>
              <w:pStyle w:val="Tabletext0"/>
              <w:jc w:val="center"/>
            </w:pPr>
            <w:r w:rsidRPr="00427D66">
              <w:t>285-195-2</w:t>
            </w:r>
          </w:p>
        </w:tc>
      </w:tr>
      <w:tr w:rsidR="000B44FA" w:rsidRPr="00DC0A78" w14:paraId="4D734137" w14:textId="77777777" w:rsidTr="00607BBD">
        <w:tc>
          <w:tcPr>
            <w:tcW w:w="1804" w:type="pct"/>
            <w:tcBorders>
              <w:top w:val="single" w:sz="4" w:space="0" w:color="0046AD"/>
              <w:bottom w:val="single" w:sz="4" w:space="0" w:color="0046AD"/>
            </w:tcBorders>
            <w:shd w:val="clear" w:color="auto" w:fill="auto"/>
          </w:tcPr>
          <w:p w14:paraId="6C440955" w14:textId="79EFB1E7" w:rsidR="000B44FA" w:rsidRPr="00DC0A78" w:rsidRDefault="000B44FA" w:rsidP="001249F9">
            <w:pPr>
              <w:pStyle w:val="Tabletext0"/>
              <w:jc w:val="both"/>
            </w:pPr>
            <w:r w:rsidRPr="000B44FA">
              <w:t>Reaction mass of Alkanes, C</w:t>
            </w:r>
            <w:r w:rsidRPr="000B44FA">
              <w:rPr>
                <w:vertAlign w:val="subscript"/>
              </w:rPr>
              <w:t>14-17</w:t>
            </w:r>
            <w:r w:rsidRPr="000B44FA">
              <w:t>, chloro and Paraffin waxes and Hydrocarbon waxes, chlor</w:t>
            </w:r>
            <w:r>
              <w:t>o</w:t>
            </w:r>
          </w:p>
        </w:tc>
        <w:tc>
          <w:tcPr>
            <w:tcW w:w="1562" w:type="pct"/>
            <w:tcBorders>
              <w:top w:val="single" w:sz="4" w:space="0" w:color="0046AD"/>
              <w:bottom w:val="single" w:sz="4" w:space="0" w:color="0046AD"/>
            </w:tcBorders>
            <w:shd w:val="clear" w:color="auto" w:fill="auto"/>
          </w:tcPr>
          <w:p w14:paraId="0926E084" w14:textId="4FC7A963" w:rsidR="000B44FA" w:rsidRPr="00DC0A78" w:rsidRDefault="000B44FA" w:rsidP="00607BBD">
            <w:pPr>
              <w:pStyle w:val="Tabletext0"/>
              <w:jc w:val="center"/>
            </w:pPr>
            <w:r w:rsidRPr="00427D66">
              <w:t>915-934-2</w:t>
            </w:r>
          </w:p>
        </w:tc>
        <w:tc>
          <w:tcPr>
            <w:tcW w:w="1634" w:type="pct"/>
            <w:tcBorders>
              <w:top w:val="single" w:sz="4" w:space="0" w:color="0046AD"/>
              <w:bottom w:val="single" w:sz="4" w:space="0" w:color="0046AD"/>
            </w:tcBorders>
            <w:shd w:val="clear" w:color="auto" w:fill="auto"/>
          </w:tcPr>
          <w:p w14:paraId="337FEB51" w14:textId="39BA2AAF" w:rsidR="000B44FA" w:rsidRPr="00DC0A78" w:rsidRDefault="000B44FA" w:rsidP="00607BBD">
            <w:pPr>
              <w:pStyle w:val="Tabletext0"/>
              <w:jc w:val="center"/>
            </w:pPr>
            <w:r>
              <w:t>-</w:t>
            </w:r>
          </w:p>
        </w:tc>
      </w:tr>
      <w:tr w:rsidR="00A96619" w:rsidRPr="00DC0A78" w14:paraId="09E950FA" w14:textId="77777777" w:rsidTr="00607BBD">
        <w:tc>
          <w:tcPr>
            <w:tcW w:w="1804" w:type="pct"/>
            <w:tcBorders>
              <w:top w:val="single" w:sz="4" w:space="0" w:color="0046AD"/>
              <w:bottom w:val="single" w:sz="4" w:space="0" w:color="0046AD"/>
            </w:tcBorders>
            <w:shd w:val="clear" w:color="auto" w:fill="auto"/>
          </w:tcPr>
          <w:p w14:paraId="0B9DBBE0" w14:textId="77777777" w:rsidR="00A96619" w:rsidRPr="00DC0A78" w:rsidRDefault="00A96619" w:rsidP="001249F9">
            <w:pPr>
              <w:pStyle w:val="Tabletext0"/>
              <w:jc w:val="both"/>
              <w:rPr>
                <w:color w:val="000000"/>
              </w:rPr>
            </w:pPr>
            <w:r w:rsidRPr="00DC0A78">
              <w:t>Paraffin oils and hydrocarbon oils, chloro</w:t>
            </w:r>
          </w:p>
        </w:tc>
        <w:tc>
          <w:tcPr>
            <w:tcW w:w="1562" w:type="pct"/>
            <w:tcBorders>
              <w:top w:val="single" w:sz="4" w:space="0" w:color="0046AD"/>
              <w:bottom w:val="single" w:sz="4" w:space="0" w:color="0046AD"/>
            </w:tcBorders>
            <w:shd w:val="clear" w:color="auto" w:fill="auto"/>
          </w:tcPr>
          <w:p w14:paraId="3D3D3127" w14:textId="77777777" w:rsidR="00A96619" w:rsidRPr="00DC0A78" w:rsidRDefault="00A96619" w:rsidP="00607BBD">
            <w:pPr>
              <w:pStyle w:val="Tabletext0"/>
              <w:jc w:val="center"/>
              <w:rPr>
                <w:color w:val="000000"/>
              </w:rPr>
            </w:pPr>
            <w:r w:rsidRPr="00DC0A78">
              <w:t>85422</w:t>
            </w:r>
            <w:r>
              <w:t>-</w:t>
            </w:r>
            <w:r w:rsidRPr="00DC0A78">
              <w:t>92</w:t>
            </w:r>
            <w:r>
              <w:t>-</w:t>
            </w:r>
            <w:r w:rsidRPr="00DC0A78">
              <w:t>0</w:t>
            </w:r>
          </w:p>
        </w:tc>
        <w:tc>
          <w:tcPr>
            <w:tcW w:w="1634" w:type="pct"/>
            <w:tcBorders>
              <w:top w:val="single" w:sz="4" w:space="0" w:color="0046AD"/>
              <w:bottom w:val="single" w:sz="4" w:space="0" w:color="0046AD"/>
            </w:tcBorders>
            <w:shd w:val="clear" w:color="auto" w:fill="auto"/>
          </w:tcPr>
          <w:p w14:paraId="6F938885" w14:textId="77777777" w:rsidR="00A96619" w:rsidRPr="00DC0A78" w:rsidRDefault="00A96619" w:rsidP="00607BBD">
            <w:pPr>
              <w:pStyle w:val="Tabletext0"/>
              <w:jc w:val="center"/>
              <w:rPr>
                <w:color w:val="000000"/>
              </w:rPr>
            </w:pPr>
            <w:r w:rsidRPr="00DC0A78">
              <w:t>287</w:t>
            </w:r>
            <w:r>
              <w:t>-</w:t>
            </w:r>
            <w:r w:rsidRPr="00DC0A78">
              <w:t>196</w:t>
            </w:r>
            <w:r>
              <w:t>-</w:t>
            </w:r>
            <w:r w:rsidRPr="00DC0A78">
              <w:t>3</w:t>
            </w:r>
          </w:p>
        </w:tc>
      </w:tr>
      <w:tr w:rsidR="00A96619" w:rsidRPr="00DC0A78" w14:paraId="3D91832D" w14:textId="77777777" w:rsidTr="00607BBD">
        <w:tc>
          <w:tcPr>
            <w:tcW w:w="1804" w:type="pct"/>
            <w:tcBorders>
              <w:top w:val="single" w:sz="4" w:space="0" w:color="0046AD"/>
              <w:bottom w:val="single" w:sz="4" w:space="0" w:color="0046AD"/>
            </w:tcBorders>
            <w:shd w:val="clear" w:color="auto" w:fill="auto"/>
            <w:vAlign w:val="center"/>
          </w:tcPr>
          <w:p w14:paraId="56D447A2" w14:textId="77777777" w:rsidR="00A96619" w:rsidRPr="00DC0A78" w:rsidRDefault="00A96619" w:rsidP="001249F9">
            <w:pPr>
              <w:pStyle w:val="Tabletext0"/>
              <w:jc w:val="both"/>
              <w:rPr>
                <w:color w:val="000000"/>
              </w:rPr>
            </w:pPr>
            <w:r w:rsidRPr="00DC0A78">
              <w:rPr>
                <w:color w:val="000000"/>
              </w:rPr>
              <w:t>Paraffins (petroleum), normal C</w:t>
            </w:r>
            <w:r w:rsidRPr="00DC0A78">
              <w:rPr>
                <w:color w:val="000000"/>
                <w:vertAlign w:val="subscript"/>
              </w:rPr>
              <w:t>&gt;10</w:t>
            </w:r>
            <w:r w:rsidRPr="00DC0A78">
              <w:rPr>
                <w:color w:val="000000"/>
              </w:rPr>
              <w:t>, chloro</w:t>
            </w:r>
          </w:p>
        </w:tc>
        <w:tc>
          <w:tcPr>
            <w:tcW w:w="1562" w:type="pct"/>
            <w:tcBorders>
              <w:top w:val="single" w:sz="4" w:space="0" w:color="0046AD"/>
              <w:bottom w:val="single" w:sz="4" w:space="0" w:color="0046AD"/>
            </w:tcBorders>
            <w:shd w:val="clear" w:color="auto" w:fill="auto"/>
            <w:vAlign w:val="center"/>
          </w:tcPr>
          <w:p w14:paraId="28CCF043" w14:textId="77777777" w:rsidR="00A96619" w:rsidRPr="00DC0A78" w:rsidRDefault="00A96619" w:rsidP="00607BBD">
            <w:pPr>
              <w:pStyle w:val="Tabletext0"/>
              <w:jc w:val="center"/>
              <w:rPr>
                <w:color w:val="000000"/>
              </w:rPr>
            </w:pPr>
            <w:r w:rsidRPr="00DC0A78">
              <w:rPr>
                <w:color w:val="000000"/>
              </w:rPr>
              <w:t>97553</w:t>
            </w:r>
            <w:r>
              <w:t>-</w:t>
            </w:r>
            <w:r w:rsidRPr="00DC0A78">
              <w:rPr>
                <w:color w:val="000000"/>
              </w:rPr>
              <w:t>43</w:t>
            </w:r>
            <w:r>
              <w:t>-</w:t>
            </w:r>
            <w:r w:rsidRPr="00DC0A78">
              <w:rPr>
                <w:color w:val="000000"/>
              </w:rPr>
              <w:t>0</w:t>
            </w:r>
          </w:p>
        </w:tc>
        <w:tc>
          <w:tcPr>
            <w:tcW w:w="1634" w:type="pct"/>
            <w:tcBorders>
              <w:top w:val="single" w:sz="4" w:space="0" w:color="0046AD"/>
              <w:bottom w:val="single" w:sz="4" w:space="0" w:color="0046AD"/>
            </w:tcBorders>
            <w:shd w:val="clear" w:color="auto" w:fill="auto"/>
            <w:vAlign w:val="center"/>
          </w:tcPr>
          <w:p w14:paraId="592A0F15" w14:textId="77777777" w:rsidR="00A96619" w:rsidRPr="00DC0A78" w:rsidRDefault="00A96619" w:rsidP="00607BBD">
            <w:pPr>
              <w:pStyle w:val="Tabletext0"/>
              <w:jc w:val="center"/>
              <w:rPr>
                <w:color w:val="000000"/>
              </w:rPr>
            </w:pPr>
            <w:r w:rsidRPr="00DC0A78">
              <w:rPr>
                <w:color w:val="000000"/>
              </w:rPr>
              <w:t>307</w:t>
            </w:r>
            <w:r>
              <w:t>-</w:t>
            </w:r>
            <w:r w:rsidRPr="00DC0A78">
              <w:rPr>
                <w:color w:val="000000"/>
              </w:rPr>
              <w:t>202</w:t>
            </w:r>
            <w:r>
              <w:t>-</w:t>
            </w:r>
            <w:r w:rsidRPr="00DC0A78">
              <w:rPr>
                <w:color w:val="000000"/>
              </w:rPr>
              <w:t>0</w:t>
            </w:r>
          </w:p>
        </w:tc>
      </w:tr>
      <w:tr w:rsidR="00A96619" w:rsidRPr="00DC0A78" w14:paraId="7A3CA5F3" w14:textId="77777777" w:rsidTr="00607BBD">
        <w:tc>
          <w:tcPr>
            <w:tcW w:w="1804" w:type="pct"/>
            <w:tcBorders>
              <w:top w:val="single" w:sz="4" w:space="0" w:color="0046AD"/>
              <w:bottom w:val="single" w:sz="4" w:space="0" w:color="0046AD"/>
            </w:tcBorders>
            <w:shd w:val="clear" w:color="auto" w:fill="auto"/>
          </w:tcPr>
          <w:p w14:paraId="12623A6E" w14:textId="4A401F01" w:rsidR="00A96619" w:rsidRPr="00DC0A78" w:rsidRDefault="00607BBD" w:rsidP="001249F9">
            <w:pPr>
              <w:pStyle w:val="Tabletext0"/>
              <w:jc w:val="both"/>
              <w:rPr>
                <w:color w:val="000000"/>
              </w:rPr>
            </w:pPr>
            <w:proofErr w:type="spellStart"/>
            <w:r>
              <w:t>Slackwax</w:t>
            </w:r>
            <w:proofErr w:type="spellEnd"/>
            <w:r>
              <w:t xml:space="preserve"> (petroleum), c</w:t>
            </w:r>
            <w:r w:rsidR="00A96619" w:rsidRPr="00DC0A78">
              <w:t>hloro</w:t>
            </w:r>
          </w:p>
        </w:tc>
        <w:tc>
          <w:tcPr>
            <w:tcW w:w="1562" w:type="pct"/>
            <w:tcBorders>
              <w:top w:val="single" w:sz="4" w:space="0" w:color="0046AD"/>
              <w:bottom w:val="single" w:sz="4" w:space="0" w:color="0046AD"/>
            </w:tcBorders>
            <w:shd w:val="clear" w:color="auto" w:fill="auto"/>
          </w:tcPr>
          <w:p w14:paraId="5D6842B6" w14:textId="77777777" w:rsidR="00A96619" w:rsidRPr="00DC0A78" w:rsidRDefault="00A96619" w:rsidP="00607BBD">
            <w:pPr>
              <w:pStyle w:val="Tabletext0"/>
              <w:jc w:val="center"/>
              <w:rPr>
                <w:color w:val="000000"/>
              </w:rPr>
            </w:pPr>
            <w:r w:rsidRPr="00DC0A78">
              <w:t>2097144</w:t>
            </w:r>
            <w:r>
              <w:t>-</w:t>
            </w:r>
            <w:r w:rsidRPr="00DC0A78">
              <w:t>44</w:t>
            </w:r>
            <w:r>
              <w:t>-</w:t>
            </w:r>
            <w:r w:rsidRPr="00DC0A78">
              <w:t>8</w:t>
            </w:r>
          </w:p>
        </w:tc>
        <w:tc>
          <w:tcPr>
            <w:tcW w:w="1634" w:type="pct"/>
            <w:tcBorders>
              <w:top w:val="single" w:sz="4" w:space="0" w:color="0046AD"/>
              <w:bottom w:val="single" w:sz="4" w:space="0" w:color="0046AD"/>
            </w:tcBorders>
            <w:shd w:val="clear" w:color="auto" w:fill="auto"/>
          </w:tcPr>
          <w:p w14:paraId="03D4152A" w14:textId="77777777" w:rsidR="00A96619" w:rsidRPr="00DC0A78" w:rsidRDefault="00A96619" w:rsidP="00607BBD">
            <w:pPr>
              <w:pStyle w:val="Tabletext0"/>
              <w:jc w:val="center"/>
              <w:rPr>
                <w:color w:val="000000"/>
              </w:rPr>
            </w:pPr>
            <w:r>
              <w:t>-</w:t>
            </w:r>
          </w:p>
        </w:tc>
      </w:tr>
      <w:tr w:rsidR="00A96619" w:rsidRPr="00DC0A78" w14:paraId="5A0398B3" w14:textId="77777777" w:rsidTr="00607BBD">
        <w:trPr>
          <w:trHeight w:val="68"/>
        </w:trPr>
        <w:tc>
          <w:tcPr>
            <w:tcW w:w="1804" w:type="pct"/>
            <w:tcBorders>
              <w:top w:val="single" w:sz="4" w:space="0" w:color="0046AD"/>
              <w:bottom w:val="single" w:sz="4" w:space="0" w:color="0046AD"/>
            </w:tcBorders>
            <w:shd w:val="clear" w:color="auto" w:fill="auto"/>
          </w:tcPr>
          <w:p w14:paraId="03B7563D" w14:textId="77777777" w:rsidR="00A96619" w:rsidRPr="00DC0A78" w:rsidRDefault="00A96619" w:rsidP="001249F9">
            <w:pPr>
              <w:pStyle w:val="Tabletext0"/>
              <w:jc w:val="both"/>
              <w:rPr>
                <w:color w:val="000000"/>
              </w:rPr>
            </w:pPr>
            <w:proofErr w:type="spellStart"/>
            <w:r w:rsidRPr="00DC0A78">
              <w:t>Tetradecane</w:t>
            </w:r>
            <w:proofErr w:type="spellEnd"/>
            <w:r w:rsidRPr="00DC0A78">
              <w:t>, chloro derivatives</w:t>
            </w:r>
          </w:p>
        </w:tc>
        <w:tc>
          <w:tcPr>
            <w:tcW w:w="1562" w:type="pct"/>
            <w:tcBorders>
              <w:top w:val="single" w:sz="4" w:space="0" w:color="0046AD"/>
              <w:bottom w:val="single" w:sz="4" w:space="0" w:color="0046AD"/>
            </w:tcBorders>
            <w:shd w:val="clear" w:color="auto" w:fill="auto"/>
          </w:tcPr>
          <w:p w14:paraId="2B74187C" w14:textId="77777777" w:rsidR="00A96619" w:rsidRPr="00DC0A78" w:rsidRDefault="00A96619" w:rsidP="00607BBD">
            <w:pPr>
              <w:pStyle w:val="Tabletext0"/>
              <w:jc w:val="center"/>
              <w:rPr>
                <w:color w:val="000000"/>
              </w:rPr>
            </w:pPr>
            <w:r w:rsidRPr="00DC0A78">
              <w:t>198840</w:t>
            </w:r>
            <w:r>
              <w:t>-</w:t>
            </w:r>
            <w:r w:rsidRPr="00DC0A78">
              <w:t>65</w:t>
            </w:r>
            <w:r>
              <w:t>-</w:t>
            </w:r>
            <w:r w:rsidRPr="00DC0A78">
              <w:t>2</w:t>
            </w:r>
          </w:p>
        </w:tc>
        <w:tc>
          <w:tcPr>
            <w:tcW w:w="1634" w:type="pct"/>
            <w:tcBorders>
              <w:top w:val="single" w:sz="4" w:space="0" w:color="0046AD"/>
              <w:bottom w:val="single" w:sz="4" w:space="0" w:color="0046AD"/>
            </w:tcBorders>
            <w:shd w:val="clear" w:color="auto" w:fill="auto"/>
          </w:tcPr>
          <w:p w14:paraId="1FDC1AF9" w14:textId="77777777" w:rsidR="00A96619" w:rsidRPr="00DC0A78" w:rsidRDefault="00A96619" w:rsidP="00607BBD">
            <w:pPr>
              <w:pStyle w:val="Tabletext0"/>
              <w:jc w:val="center"/>
              <w:rPr>
                <w:color w:val="000000"/>
              </w:rPr>
            </w:pPr>
            <w:r>
              <w:t>-</w:t>
            </w:r>
          </w:p>
        </w:tc>
      </w:tr>
    </w:tbl>
    <w:p w14:paraId="39B969C1" w14:textId="77777777" w:rsidR="00DC49AE" w:rsidRDefault="00DC49AE" w:rsidP="00DC49AE">
      <w:pPr>
        <w:pStyle w:val="BodyText"/>
        <w:tabs>
          <w:tab w:val="left" w:pos="1985"/>
          <w:tab w:val="left" w:pos="4678"/>
          <w:tab w:val="left" w:pos="7088"/>
        </w:tabs>
        <w:spacing w:after="0"/>
        <w:ind w:left="-567"/>
        <w:jc w:val="left"/>
        <w:rPr>
          <w:rFonts w:ascii="Verdana" w:hAnsi="Verdana"/>
          <w:i/>
          <w:sz w:val="20"/>
        </w:rPr>
      </w:pPr>
    </w:p>
    <w:p w14:paraId="1D3D73AF" w14:textId="77777777" w:rsidR="00705DB2" w:rsidRDefault="00705DB2" w:rsidP="00DC49AE">
      <w:pPr>
        <w:pStyle w:val="BodyText"/>
        <w:tabs>
          <w:tab w:val="left" w:pos="1985"/>
          <w:tab w:val="left" w:pos="4678"/>
          <w:tab w:val="left" w:pos="7088"/>
        </w:tabs>
        <w:spacing w:after="0"/>
        <w:ind w:left="-567"/>
        <w:jc w:val="left"/>
        <w:rPr>
          <w:rFonts w:ascii="Verdana" w:hAnsi="Verdana"/>
          <w:i/>
          <w:sz w:val="20"/>
        </w:rPr>
      </w:pPr>
    </w:p>
    <w:p w14:paraId="598BD3E5" w14:textId="69B7ECFD" w:rsidR="00705DB2" w:rsidRPr="00705DB2" w:rsidRDefault="00705DB2" w:rsidP="00C11D81">
      <w:pPr>
        <w:spacing w:after="200"/>
        <w:jc w:val="both"/>
        <w:rPr>
          <w:rFonts w:ascii="Verdana" w:hAnsi="Verdana"/>
          <w:sz w:val="20"/>
        </w:rPr>
      </w:pPr>
      <w:r w:rsidRPr="00705DB2">
        <w:rPr>
          <w:rFonts w:ascii="Verdana" w:hAnsi="Verdana"/>
          <w:sz w:val="20"/>
        </w:rPr>
        <w:t xml:space="preserve">No </w:t>
      </w:r>
      <w:r w:rsidRPr="00C11D81">
        <w:rPr>
          <w:rFonts w:ascii="Verdana" w:hAnsi="Verdana"/>
          <w:sz w:val="20"/>
          <w:szCs w:val="22"/>
          <w:lang w:val="en-GB" w:eastAsia="en-GB"/>
        </w:rPr>
        <w:t>registrations</w:t>
      </w:r>
      <w:r w:rsidRPr="00705DB2">
        <w:rPr>
          <w:rFonts w:ascii="Verdana" w:hAnsi="Verdana"/>
          <w:sz w:val="20"/>
        </w:rPr>
        <w:t xml:space="preserve"> have been made for any of the CAS numbers in Table </w:t>
      </w:r>
      <w:r>
        <w:rPr>
          <w:rFonts w:ascii="Verdana" w:hAnsi="Verdana"/>
          <w:sz w:val="20"/>
        </w:rPr>
        <w:t>2.</w:t>
      </w:r>
    </w:p>
    <w:p w14:paraId="39B969ED" w14:textId="77777777" w:rsidR="00921EB8" w:rsidRPr="005E242A" w:rsidRDefault="00921EB8" w:rsidP="00283F77">
      <w:pPr>
        <w:pStyle w:val="BodyText"/>
        <w:spacing w:before="600" w:after="200"/>
        <w:ind w:left="567" w:hanging="567"/>
        <w:rPr>
          <w:rFonts w:ascii="Verdana" w:hAnsi="Verdana"/>
          <w:b/>
        </w:rPr>
      </w:pPr>
      <w:r w:rsidRPr="005E242A">
        <w:rPr>
          <w:rFonts w:ascii="Verdana" w:hAnsi="Verdana"/>
          <w:b/>
        </w:rPr>
        <w:t>1.2</w:t>
      </w:r>
      <w:r w:rsidRPr="005E242A">
        <w:rPr>
          <w:rFonts w:ascii="Verdana" w:hAnsi="Verdana"/>
          <w:b/>
        </w:rPr>
        <w:tab/>
        <w:t>Similar substances/grouping possibilities</w:t>
      </w:r>
    </w:p>
    <w:p w14:paraId="39B969F1" w14:textId="7B530CBD" w:rsidR="00921EB8" w:rsidRDefault="000B44FA" w:rsidP="00C11D81">
      <w:pPr>
        <w:spacing w:after="200"/>
        <w:jc w:val="both"/>
        <w:rPr>
          <w:rFonts w:ascii="Verdana" w:hAnsi="Verdana"/>
          <w:sz w:val="20"/>
        </w:rPr>
      </w:pPr>
      <w:r>
        <w:rPr>
          <w:rFonts w:ascii="Verdana" w:hAnsi="Verdana"/>
          <w:sz w:val="20"/>
        </w:rPr>
        <w:t>Short-c</w:t>
      </w:r>
      <w:r w:rsidR="00705DB2" w:rsidRPr="00705DB2">
        <w:rPr>
          <w:rFonts w:ascii="Verdana" w:hAnsi="Verdana"/>
          <w:sz w:val="20"/>
        </w:rPr>
        <w:t xml:space="preserve">hain </w:t>
      </w:r>
      <w:r>
        <w:rPr>
          <w:rFonts w:ascii="Verdana" w:hAnsi="Verdana"/>
          <w:sz w:val="20"/>
        </w:rPr>
        <w:t>c</w:t>
      </w:r>
      <w:r w:rsidR="00705DB2" w:rsidRPr="00705DB2">
        <w:rPr>
          <w:rFonts w:ascii="Verdana" w:hAnsi="Verdana"/>
          <w:sz w:val="20"/>
        </w:rPr>
        <w:t xml:space="preserve">hlorinated </w:t>
      </w:r>
      <w:r>
        <w:rPr>
          <w:rFonts w:ascii="Verdana" w:hAnsi="Verdana"/>
          <w:sz w:val="20"/>
        </w:rPr>
        <w:t>p</w:t>
      </w:r>
      <w:r w:rsidR="00705DB2" w:rsidRPr="00705DB2">
        <w:rPr>
          <w:rFonts w:ascii="Verdana" w:hAnsi="Verdana"/>
          <w:sz w:val="20"/>
        </w:rPr>
        <w:t>araffins (</w:t>
      </w:r>
      <w:r w:rsidR="003A6F22">
        <w:rPr>
          <w:rFonts w:ascii="Verdana" w:hAnsi="Verdana"/>
          <w:sz w:val="20"/>
        </w:rPr>
        <w:t>SCCPs</w:t>
      </w:r>
      <w:r w:rsidR="00233053">
        <w:rPr>
          <w:rFonts w:ascii="Verdana" w:hAnsi="Verdana"/>
          <w:sz w:val="20"/>
        </w:rPr>
        <w:t>;</w:t>
      </w:r>
      <w:r w:rsidR="00233053" w:rsidRPr="00233053">
        <w:rPr>
          <w:rFonts w:ascii="Verdana" w:hAnsi="Verdana"/>
          <w:sz w:val="20"/>
          <w:szCs w:val="20"/>
        </w:rPr>
        <w:t xml:space="preserve"> </w:t>
      </w:r>
      <w:r w:rsidR="00233053" w:rsidRPr="004746C9">
        <w:rPr>
          <w:rFonts w:ascii="Verdana" w:hAnsi="Verdana"/>
          <w:sz w:val="20"/>
          <w:szCs w:val="20"/>
        </w:rPr>
        <w:t xml:space="preserve">CAS no. </w:t>
      </w:r>
      <w:r w:rsidR="00233053" w:rsidRPr="004746C9">
        <w:rPr>
          <w:rFonts w:ascii="Verdana" w:hAnsi="Verdana"/>
          <w:color w:val="000000"/>
          <w:sz w:val="20"/>
          <w:szCs w:val="20"/>
        </w:rPr>
        <w:t>85535-84-8, EC number</w:t>
      </w:r>
      <w:r w:rsidR="00861D95">
        <w:rPr>
          <w:rFonts w:ascii="Verdana" w:hAnsi="Verdana"/>
          <w:color w:val="000000"/>
          <w:sz w:val="20"/>
          <w:szCs w:val="20"/>
        </w:rPr>
        <w:t xml:space="preserve"> 287</w:t>
      </w:r>
      <w:r w:rsidR="00861D95">
        <w:rPr>
          <w:rFonts w:ascii="Verdana" w:hAnsi="Verdana"/>
          <w:color w:val="000000"/>
          <w:sz w:val="20"/>
          <w:szCs w:val="20"/>
        </w:rPr>
        <w:noBreakHyphen/>
      </w:r>
      <w:r w:rsidR="00233053">
        <w:rPr>
          <w:rFonts w:ascii="Verdana" w:hAnsi="Verdana"/>
          <w:color w:val="000000"/>
          <w:sz w:val="20"/>
          <w:szCs w:val="20"/>
        </w:rPr>
        <w:t>476-5</w:t>
      </w:r>
      <w:r w:rsidR="00120735">
        <w:rPr>
          <w:rFonts w:ascii="Verdana" w:hAnsi="Verdana"/>
          <w:sz w:val="20"/>
        </w:rPr>
        <w:t>,</w:t>
      </w:r>
      <w:r w:rsidR="00705DB2" w:rsidRPr="00705DB2">
        <w:rPr>
          <w:rFonts w:ascii="Verdana" w:hAnsi="Verdana"/>
          <w:sz w:val="20"/>
        </w:rPr>
        <w:t xml:space="preserve"> contain</w:t>
      </w:r>
      <w:r w:rsidR="00705DB2">
        <w:rPr>
          <w:rFonts w:ascii="Verdana" w:hAnsi="Verdana"/>
          <w:sz w:val="20"/>
        </w:rPr>
        <w:t>ing C</w:t>
      </w:r>
      <w:r w:rsidR="00705DB2" w:rsidRPr="000B44FA">
        <w:rPr>
          <w:rFonts w:ascii="Verdana" w:hAnsi="Verdana"/>
          <w:sz w:val="20"/>
          <w:vertAlign w:val="subscript"/>
        </w:rPr>
        <w:t>10-13</w:t>
      </w:r>
      <w:r w:rsidR="00705DB2" w:rsidRPr="00705DB2">
        <w:rPr>
          <w:rFonts w:ascii="Verdana" w:hAnsi="Verdana"/>
          <w:sz w:val="20"/>
        </w:rPr>
        <w:t xml:space="preserve"> carbon chain lengths</w:t>
      </w:r>
      <w:r w:rsidR="00120735">
        <w:rPr>
          <w:rFonts w:ascii="Verdana" w:hAnsi="Verdana"/>
          <w:sz w:val="20"/>
        </w:rPr>
        <w:t xml:space="preserve">) </w:t>
      </w:r>
      <w:r>
        <w:rPr>
          <w:rFonts w:ascii="Verdana" w:hAnsi="Verdana"/>
          <w:sz w:val="20"/>
        </w:rPr>
        <w:t>and long-c</w:t>
      </w:r>
      <w:r w:rsidR="00705DB2" w:rsidRPr="00705DB2">
        <w:rPr>
          <w:rFonts w:ascii="Verdana" w:hAnsi="Verdana"/>
          <w:sz w:val="20"/>
        </w:rPr>
        <w:t>h</w:t>
      </w:r>
      <w:r w:rsidR="00705DB2">
        <w:rPr>
          <w:rFonts w:ascii="Verdana" w:hAnsi="Verdana"/>
          <w:sz w:val="20"/>
        </w:rPr>
        <w:t xml:space="preserve">ain </w:t>
      </w:r>
      <w:r>
        <w:rPr>
          <w:rFonts w:ascii="Verdana" w:hAnsi="Verdana"/>
          <w:sz w:val="20"/>
        </w:rPr>
        <w:t>chlorinated p</w:t>
      </w:r>
      <w:r w:rsidR="00705DB2">
        <w:rPr>
          <w:rFonts w:ascii="Verdana" w:hAnsi="Verdana"/>
          <w:sz w:val="20"/>
        </w:rPr>
        <w:t>araffins (</w:t>
      </w:r>
      <w:r w:rsidR="00861D95">
        <w:rPr>
          <w:rFonts w:ascii="Verdana" w:hAnsi="Verdana"/>
          <w:sz w:val="20"/>
        </w:rPr>
        <w:t>LCCPs</w:t>
      </w:r>
      <w:r w:rsidR="00120735">
        <w:rPr>
          <w:rFonts w:ascii="Verdana" w:hAnsi="Verdana"/>
          <w:sz w:val="20"/>
        </w:rPr>
        <w:t>,</w:t>
      </w:r>
      <w:r w:rsidR="00705DB2" w:rsidRPr="00705DB2">
        <w:rPr>
          <w:rFonts w:ascii="Verdana" w:hAnsi="Verdana"/>
          <w:sz w:val="20"/>
        </w:rPr>
        <w:t xml:space="preserve"> contain</w:t>
      </w:r>
      <w:r w:rsidR="00705DB2">
        <w:rPr>
          <w:rFonts w:ascii="Verdana" w:hAnsi="Verdana"/>
          <w:sz w:val="20"/>
        </w:rPr>
        <w:t>ing</w:t>
      </w:r>
      <w:r w:rsidR="00705DB2" w:rsidRPr="00705DB2">
        <w:rPr>
          <w:rFonts w:ascii="Verdana" w:hAnsi="Verdana"/>
          <w:sz w:val="20"/>
        </w:rPr>
        <w:t xml:space="preserve"> </w:t>
      </w:r>
      <w:r>
        <w:rPr>
          <w:rFonts w:ascii="Verdana" w:hAnsi="Verdana"/>
          <w:sz w:val="20"/>
        </w:rPr>
        <w:t>C</w:t>
      </w:r>
      <w:r w:rsidR="00583667">
        <w:rPr>
          <w:rFonts w:ascii="Verdana" w:hAnsi="Verdana"/>
          <w:sz w:val="20"/>
          <w:vertAlign w:val="subscript"/>
        </w:rPr>
        <w:t>1</w:t>
      </w:r>
      <w:r w:rsidR="000578F2">
        <w:rPr>
          <w:rFonts w:ascii="Verdana" w:hAnsi="Verdana"/>
          <w:sz w:val="20"/>
          <w:vertAlign w:val="subscript"/>
        </w:rPr>
        <w:t>8</w:t>
      </w:r>
      <w:r w:rsidRPr="000B44FA">
        <w:rPr>
          <w:rFonts w:ascii="Verdana" w:hAnsi="Verdana"/>
          <w:sz w:val="20"/>
          <w:vertAlign w:val="subscript"/>
        </w:rPr>
        <w:t>-</w:t>
      </w:r>
      <w:r w:rsidR="00705DB2" w:rsidRPr="000B44FA">
        <w:rPr>
          <w:rFonts w:ascii="Verdana" w:hAnsi="Verdana"/>
          <w:sz w:val="20"/>
          <w:vertAlign w:val="subscript"/>
        </w:rPr>
        <w:t>30</w:t>
      </w:r>
      <w:r w:rsidR="00705DB2">
        <w:rPr>
          <w:rFonts w:ascii="Verdana" w:hAnsi="Verdana"/>
          <w:sz w:val="20"/>
        </w:rPr>
        <w:t xml:space="preserve"> </w:t>
      </w:r>
      <w:r w:rsidR="00705DB2" w:rsidRPr="00705DB2">
        <w:rPr>
          <w:rFonts w:ascii="Verdana" w:hAnsi="Verdana"/>
          <w:sz w:val="20"/>
        </w:rPr>
        <w:t>carbon chain lengths</w:t>
      </w:r>
      <w:r w:rsidR="00233053">
        <w:rPr>
          <w:rStyle w:val="FootnoteReference"/>
          <w:rFonts w:ascii="Verdana" w:hAnsi="Verdana"/>
          <w:sz w:val="20"/>
        </w:rPr>
        <w:footnoteReference w:id="1"/>
      </w:r>
      <w:r w:rsidR="00120735">
        <w:rPr>
          <w:rFonts w:ascii="Verdana" w:hAnsi="Verdana"/>
          <w:sz w:val="20"/>
        </w:rPr>
        <w:t>)</w:t>
      </w:r>
      <w:r w:rsidR="00705DB2" w:rsidRPr="00705DB2">
        <w:rPr>
          <w:rFonts w:ascii="Verdana" w:hAnsi="Verdana"/>
          <w:sz w:val="20"/>
        </w:rPr>
        <w:t xml:space="preserve"> </w:t>
      </w:r>
      <w:r w:rsidR="00496C64">
        <w:rPr>
          <w:rFonts w:ascii="Verdana" w:hAnsi="Verdana"/>
          <w:sz w:val="20"/>
        </w:rPr>
        <w:t>are structural analogues registered under REACH</w:t>
      </w:r>
      <w:r w:rsidR="00705DB2" w:rsidRPr="00705DB2">
        <w:rPr>
          <w:rFonts w:ascii="Verdana" w:hAnsi="Verdana"/>
          <w:sz w:val="20"/>
        </w:rPr>
        <w:t xml:space="preserve">. </w:t>
      </w:r>
      <w:r w:rsidR="003A6F22">
        <w:rPr>
          <w:rFonts w:ascii="Verdana" w:hAnsi="Verdana"/>
          <w:sz w:val="20"/>
        </w:rPr>
        <w:t>SCCPs</w:t>
      </w:r>
      <w:r w:rsidR="00496C64">
        <w:rPr>
          <w:rFonts w:ascii="Verdana" w:hAnsi="Verdana"/>
          <w:sz w:val="20"/>
        </w:rPr>
        <w:t xml:space="preserve"> is </w:t>
      </w:r>
      <w:r w:rsidR="00705DB2" w:rsidRPr="00705DB2">
        <w:rPr>
          <w:rFonts w:ascii="Verdana" w:hAnsi="Verdana"/>
          <w:sz w:val="20"/>
        </w:rPr>
        <w:t xml:space="preserve">a </w:t>
      </w:r>
      <w:r w:rsidR="00283F77">
        <w:rPr>
          <w:rFonts w:ascii="Verdana" w:hAnsi="Verdana"/>
          <w:sz w:val="20"/>
        </w:rPr>
        <w:t>S</w:t>
      </w:r>
      <w:r w:rsidR="00705DB2" w:rsidRPr="00705DB2">
        <w:rPr>
          <w:rFonts w:ascii="Verdana" w:hAnsi="Verdana"/>
          <w:sz w:val="20"/>
        </w:rPr>
        <w:t xml:space="preserve">ubstance of </w:t>
      </w:r>
      <w:r w:rsidR="00283F77">
        <w:rPr>
          <w:rFonts w:ascii="Verdana" w:hAnsi="Verdana"/>
          <w:sz w:val="20"/>
        </w:rPr>
        <w:t>V</w:t>
      </w:r>
      <w:r w:rsidR="00705DB2" w:rsidRPr="00705DB2">
        <w:rPr>
          <w:rFonts w:ascii="Verdana" w:hAnsi="Verdana"/>
          <w:sz w:val="20"/>
        </w:rPr>
        <w:t xml:space="preserve">ery </w:t>
      </w:r>
      <w:r w:rsidR="00283F77">
        <w:rPr>
          <w:rFonts w:ascii="Verdana" w:hAnsi="Verdana"/>
          <w:sz w:val="20"/>
        </w:rPr>
        <w:t>H</w:t>
      </w:r>
      <w:r w:rsidR="00705DB2" w:rsidRPr="00705DB2">
        <w:rPr>
          <w:rFonts w:ascii="Verdana" w:hAnsi="Verdana"/>
          <w:sz w:val="20"/>
        </w:rPr>
        <w:t xml:space="preserve">igh </w:t>
      </w:r>
      <w:r w:rsidR="00283F77">
        <w:rPr>
          <w:rFonts w:ascii="Verdana" w:hAnsi="Verdana"/>
          <w:sz w:val="20"/>
        </w:rPr>
        <w:t>C</w:t>
      </w:r>
      <w:r w:rsidR="00705DB2" w:rsidRPr="00705DB2">
        <w:rPr>
          <w:rFonts w:ascii="Verdana" w:hAnsi="Verdana"/>
          <w:sz w:val="20"/>
        </w:rPr>
        <w:t xml:space="preserve">oncern (SVHC) </w:t>
      </w:r>
      <w:r>
        <w:rPr>
          <w:rFonts w:ascii="Verdana" w:hAnsi="Verdana"/>
          <w:sz w:val="20"/>
        </w:rPr>
        <w:t xml:space="preserve">on the REACH candidate list for authorisation; </w:t>
      </w:r>
      <w:r w:rsidR="00063E1E">
        <w:rPr>
          <w:rFonts w:ascii="Verdana" w:hAnsi="Verdana"/>
          <w:sz w:val="20"/>
        </w:rPr>
        <w:t xml:space="preserve">it </w:t>
      </w:r>
      <w:r>
        <w:rPr>
          <w:rFonts w:ascii="Verdana" w:hAnsi="Verdana"/>
          <w:sz w:val="20"/>
        </w:rPr>
        <w:t>is</w:t>
      </w:r>
      <w:r w:rsidR="00063E1E">
        <w:rPr>
          <w:rFonts w:ascii="Verdana" w:hAnsi="Verdana"/>
          <w:sz w:val="20"/>
        </w:rPr>
        <w:t xml:space="preserve"> </w:t>
      </w:r>
      <w:r w:rsidR="00705DB2" w:rsidRPr="00705DB2">
        <w:rPr>
          <w:rFonts w:ascii="Verdana" w:hAnsi="Verdana"/>
          <w:sz w:val="20"/>
        </w:rPr>
        <w:t xml:space="preserve">persistent, bioaccumulative and toxic (PBT). </w:t>
      </w:r>
      <w:r w:rsidR="000E0C0E">
        <w:rPr>
          <w:rFonts w:ascii="Verdana" w:hAnsi="Verdana"/>
          <w:sz w:val="20"/>
        </w:rPr>
        <w:t>It</w:t>
      </w:r>
      <w:r w:rsidR="00283F77">
        <w:rPr>
          <w:rFonts w:ascii="Verdana" w:hAnsi="Verdana"/>
          <w:sz w:val="20"/>
        </w:rPr>
        <w:t xml:space="preserve"> </w:t>
      </w:r>
      <w:r>
        <w:rPr>
          <w:rFonts w:ascii="Verdana" w:hAnsi="Verdana"/>
          <w:sz w:val="20"/>
        </w:rPr>
        <w:t>is</w:t>
      </w:r>
      <w:r w:rsidR="00496C64">
        <w:rPr>
          <w:rFonts w:ascii="Verdana" w:hAnsi="Verdana"/>
          <w:sz w:val="20"/>
        </w:rPr>
        <w:t xml:space="preserve"> a</w:t>
      </w:r>
      <w:r w:rsidR="00705DB2" w:rsidRPr="00705DB2">
        <w:rPr>
          <w:rFonts w:ascii="Verdana" w:hAnsi="Verdana"/>
          <w:sz w:val="20"/>
        </w:rPr>
        <w:t xml:space="preserve">lso a </w:t>
      </w:r>
      <w:r w:rsidR="00283F77">
        <w:rPr>
          <w:rFonts w:ascii="Verdana" w:hAnsi="Verdana"/>
          <w:sz w:val="20"/>
        </w:rPr>
        <w:t>P</w:t>
      </w:r>
      <w:r w:rsidR="00705DB2" w:rsidRPr="00705DB2">
        <w:rPr>
          <w:rFonts w:ascii="Verdana" w:hAnsi="Verdana"/>
          <w:sz w:val="20"/>
        </w:rPr>
        <w:t xml:space="preserve">ersistent </w:t>
      </w:r>
      <w:r w:rsidR="00283F77">
        <w:rPr>
          <w:rFonts w:ascii="Verdana" w:hAnsi="Verdana"/>
          <w:sz w:val="20"/>
        </w:rPr>
        <w:t>O</w:t>
      </w:r>
      <w:r w:rsidR="00705DB2" w:rsidRPr="00705DB2">
        <w:rPr>
          <w:rFonts w:ascii="Verdana" w:hAnsi="Verdana"/>
          <w:sz w:val="20"/>
        </w:rPr>
        <w:t xml:space="preserve">rganic </w:t>
      </w:r>
      <w:r w:rsidR="00283F77">
        <w:rPr>
          <w:rFonts w:ascii="Verdana" w:hAnsi="Verdana"/>
          <w:sz w:val="20"/>
        </w:rPr>
        <w:t>P</w:t>
      </w:r>
      <w:r w:rsidR="00705DB2" w:rsidRPr="00705DB2">
        <w:rPr>
          <w:rFonts w:ascii="Verdana" w:hAnsi="Verdana"/>
          <w:sz w:val="20"/>
        </w:rPr>
        <w:t>ollutant (POP) under the UN Stockholm Convention</w:t>
      </w:r>
      <w:r w:rsidR="00363E16">
        <w:rPr>
          <w:rFonts w:ascii="Verdana" w:hAnsi="Verdana"/>
          <w:sz w:val="20"/>
        </w:rPr>
        <w:t xml:space="preserve"> and</w:t>
      </w:r>
      <w:r w:rsidR="00363E16" w:rsidRPr="00363E16">
        <w:rPr>
          <w:rFonts w:ascii="Verdana" w:hAnsi="Verdana"/>
          <w:sz w:val="20"/>
        </w:rPr>
        <w:t xml:space="preserve"> the UNECE Convention on </w:t>
      </w:r>
      <w:r w:rsidR="00363E16" w:rsidRPr="00C11D81">
        <w:rPr>
          <w:rFonts w:ascii="Verdana" w:hAnsi="Verdana"/>
          <w:sz w:val="20"/>
          <w:szCs w:val="22"/>
          <w:lang w:val="en-GB" w:eastAsia="en-GB"/>
        </w:rPr>
        <w:t>Long</w:t>
      </w:r>
      <w:r w:rsidR="00363E16" w:rsidRPr="00363E16">
        <w:rPr>
          <w:rFonts w:ascii="Verdana" w:hAnsi="Verdana"/>
          <w:sz w:val="20"/>
        </w:rPr>
        <w:t xml:space="preserve">-Range Transboundary Air </w:t>
      </w:r>
      <w:r w:rsidR="00363E16" w:rsidRPr="00363E16">
        <w:rPr>
          <w:rFonts w:ascii="Verdana" w:hAnsi="Verdana"/>
          <w:sz w:val="20"/>
        </w:rPr>
        <w:lastRenderedPageBreak/>
        <w:t>Pollution</w:t>
      </w:r>
      <w:r w:rsidR="00363E16" w:rsidRPr="00363E16">
        <w:rPr>
          <w:rFonts w:ascii="Verdana" w:hAnsi="Verdana"/>
          <w:sz w:val="20"/>
          <w:vertAlign w:val="superscript"/>
        </w:rPr>
        <w:footnoteReference w:id="2"/>
      </w:r>
      <w:r w:rsidR="000E0C0E">
        <w:rPr>
          <w:rFonts w:ascii="Verdana" w:hAnsi="Verdana"/>
          <w:sz w:val="20"/>
        </w:rPr>
        <w:t>.</w:t>
      </w:r>
      <w:r w:rsidR="000E0C0E" w:rsidRPr="000E0C0E">
        <w:t xml:space="preserve"> </w:t>
      </w:r>
      <w:r w:rsidR="000578F2">
        <w:rPr>
          <w:rFonts w:ascii="Verdana" w:hAnsi="Verdana"/>
          <w:sz w:val="20"/>
        </w:rPr>
        <w:t>MCCPs</w:t>
      </w:r>
      <w:r w:rsidR="004D0170">
        <w:rPr>
          <w:rFonts w:ascii="Verdana" w:hAnsi="Verdana"/>
          <w:sz w:val="20"/>
        </w:rPr>
        <w:t xml:space="preserve"> contains </w:t>
      </w:r>
      <w:r w:rsidR="004D0170" w:rsidRPr="000E0C0E">
        <w:rPr>
          <w:rFonts w:ascii="Verdana" w:hAnsi="Verdana"/>
          <w:sz w:val="20"/>
        </w:rPr>
        <w:t>C</w:t>
      </w:r>
      <w:r w:rsidR="004D0170" w:rsidRPr="000B44FA">
        <w:rPr>
          <w:rFonts w:ascii="Verdana" w:hAnsi="Verdana"/>
          <w:sz w:val="20"/>
          <w:vertAlign w:val="subscript"/>
        </w:rPr>
        <w:t>10-13</w:t>
      </w:r>
      <w:r w:rsidR="004D0170" w:rsidRPr="000E0C0E">
        <w:rPr>
          <w:rFonts w:ascii="Verdana" w:hAnsi="Verdana"/>
          <w:sz w:val="20"/>
        </w:rPr>
        <w:t xml:space="preserve"> </w:t>
      </w:r>
      <w:r w:rsidR="002F2E37">
        <w:rPr>
          <w:rFonts w:ascii="Verdana" w:hAnsi="Verdana"/>
          <w:sz w:val="20"/>
        </w:rPr>
        <w:t>constituents</w:t>
      </w:r>
      <w:r w:rsidR="004D0170">
        <w:rPr>
          <w:rFonts w:ascii="Verdana" w:hAnsi="Verdana"/>
          <w:sz w:val="20"/>
        </w:rPr>
        <w:t xml:space="preserve"> that may be analogous to </w:t>
      </w:r>
      <w:r w:rsidR="003A6F22">
        <w:rPr>
          <w:rFonts w:ascii="Verdana" w:hAnsi="Verdana"/>
          <w:sz w:val="20"/>
        </w:rPr>
        <w:t>SCCPs</w:t>
      </w:r>
      <w:r w:rsidR="004D0170">
        <w:rPr>
          <w:rFonts w:ascii="Verdana" w:hAnsi="Verdana"/>
          <w:sz w:val="20"/>
        </w:rPr>
        <w:t>, at levels</w:t>
      </w:r>
      <w:r w:rsidR="004D0170" w:rsidRPr="000E0C0E">
        <w:rPr>
          <w:rFonts w:ascii="Verdana" w:hAnsi="Verdana"/>
          <w:sz w:val="20"/>
        </w:rPr>
        <w:t xml:space="preserve"> typically &lt;1% w/w (often much lower), although the identity and actual concentration of the individual </w:t>
      </w:r>
      <w:r w:rsidR="002F2E37">
        <w:rPr>
          <w:rFonts w:ascii="Verdana" w:hAnsi="Verdana"/>
          <w:sz w:val="20"/>
        </w:rPr>
        <w:t>constituents</w:t>
      </w:r>
      <w:r w:rsidR="004D0170" w:rsidRPr="000E0C0E">
        <w:rPr>
          <w:rFonts w:ascii="Verdana" w:hAnsi="Verdana"/>
          <w:sz w:val="20"/>
        </w:rPr>
        <w:t xml:space="preserve"> is not known.</w:t>
      </w:r>
      <w:r w:rsidR="000E0C0E" w:rsidRPr="000E0C0E">
        <w:rPr>
          <w:rFonts w:ascii="Verdana" w:hAnsi="Verdana"/>
          <w:sz w:val="20"/>
        </w:rPr>
        <w:t xml:space="preserve"> </w:t>
      </w:r>
    </w:p>
    <w:p w14:paraId="4FD294D0" w14:textId="77777777" w:rsidR="002C467E" w:rsidRPr="00705DB2" w:rsidRDefault="002C467E" w:rsidP="002C467E">
      <w:pPr>
        <w:spacing w:after="200"/>
        <w:jc w:val="both"/>
        <w:rPr>
          <w:rFonts w:ascii="Verdana" w:hAnsi="Verdana"/>
          <w:sz w:val="20"/>
        </w:rPr>
      </w:pPr>
      <w:r w:rsidRPr="000E0C0E">
        <w:rPr>
          <w:rFonts w:ascii="Verdana" w:hAnsi="Verdana"/>
          <w:sz w:val="20"/>
        </w:rPr>
        <w:t xml:space="preserve">The </w:t>
      </w:r>
      <w:r w:rsidRPr="006467E4">
        <w:rPr>
          <w:rFonts w:ascii="Verdana" w:hAnsi="Verdana"/>
          <w:sz w:val="20"/>
        </w:rPr>
        <w:t xml:space="preserve">transition </w:t>
      </w:r>
      <w:r>
        <w:rPr>
          <w:rFonts w:ascii="Verdana" w:hAnsi="Verdana"/>
          <w:sz w:val="20"/>
        </w:rPr>
        <w:t xml:space="preserve">Annex XV </w:t>
      </w:r>
      <w:r w:rsidRPr="006467E4">
        <w:rPr>
          <w:rFonts w:ascii="Verdana" w:hAnsi="Verdana"/>
          <w:sz w:val="20"/>
        </w:rPr>
        <w:t>dossier</w:t>
      </w:r>
      <w:r w:rsidRPr="000E0C0E">
        <w:rPr>
          <w:rFonts w:ascii="Verdana" w:hAnsi="Verdana"/>
          <w:sz w:val="20"/>
        </w:rPr>
        <w:t xml:space="preserve"> </w:t>
      </w:r>
      <w:r>
        <w:rPr>
          <w:rFonts w:ascii="Verdana" w:hAnsi="Verdana"/>
          <w:sz w:val="20"/>
        </w:rPr>
        <w:t xml:space="preserve">(HSE, 2008) </w:t>
      </w:r>
      <w:r w:rsidRPr="000E0C0E">
        <w:rPr>
          <w:rFonts w:ascii="Verdana" w:hAnsi="Verdana"/>
          <w:sz w:val="20"/>
        </w:rPr>
        <w:t xml:space="preserve">indicated that </w:t>
      </w:r>
      <w:r>
        <w:rPr>
          <w:rFonts w:ascii="Verdana" w:hAnsi="Verdana"/>
          <w:sz w:val="20"/>
        </w:rPr>
        <w:t xml:space="preserve">LCCPs </w:t>
      </w:r>
      <w:r w:rsidRPr="000E0C0E">
        <w:rPr>
          <w:rFonts w:ascii="Verdana" w:hAnsi="Verdana"/>
          <w:sz w:val="20"/>
        </w:rPr>
        <w:t>based on a C</w:t>
      </w:r>
      <w:r>
        <w:rPr>
          <w:rFonts w:ascii="Verdana" w:hAnsi="Verdana"/>
          <w:sz w:val="20"/>
          <w:vertAlign w:val="subscript"/>
        </w:rPr>
        <w:t>18</w:t>
      </w:r>
      <w:r>
        <w:rPr>
          <w:rFonts w:ascii="Verdana" w:hAnsi="Verdana"/>
          <w:sz w:val="20"/>
          <w:vertAlign w:val="subscript"/>
        </w:rPr>
        <w:noBreakHyphen/>
      </w:r>
      <w:r w:rsidRPr="004D0170">
        <w:rPr>
          <w:rFonts w:ascii="Verdana" w:hAnsi="Verdana"/>
          <w:sz w:val="20"/>
          <w:vertAlign w:val="subscript"/>
        </w:rPr>
        <w:t>20</w:t>
      </w:r>
      <w:r w:rsidRPr="000E0C0E">
        <w:rPr>
          <w:rFonts w:ascii="Verdana" w:hAnsi="Verdana"/>
          <w:sz w:val="20"/>
        </w:rPr>
        <w:t xml:space="preserve"> carbon chain length may contain up to 20% C</w:t>
      </w:r>
      <w:r w:rsidRPr="00120735">
        <w:rPr>
          <w:rFonts w:ascii="Verdana" w:hAnsi="Verdana"/>
          <w:sz w:val="20"/>
          <w:vertAlign w:val="subscript"/>
        </w:rPr>
        <w:t>17</w:t>
      </w:r>
      <w:r w:rsidRPr="000E0C0E">
        <w:rPr>
          <w:rFonts w:ascii="Verdana" w:hAnsi="Verdana"/>
          <w:sz w:val="20"/>
        </w:rPr>
        <w:t xml:space="preserve"> chlorinated paraffins. The implications of this for t</w:t>
      </w:r>
      <w:r>
        <w:rPr>
          <w:rFonts w:ascii="Verdana" w:hAnsi="Verdana"/>
          <w:sz w:val="20"/>
        </w:rPr>
        <w:t xml:space="preserve">he hazardous properties of LCCPs </w:t>
      </w:r>
      <w:r w:rsidRPr="000E0C0E">
        <w:rPr>
          <w:rFonts w:ascii="Verdana" w:hAnsi="Verdana"/>
          <w:sz w:val="20"/>
        </w:rPr>
        <w:t>have not yet been fully evaluated</w:t>
      </w:r>
      <w:r>
        <w:rPr>
          <w:rFonts w:ascii="Verdana" w:hAnsi="Verdana"/>
          <w:sz w:val="20"/>
        </w:rPr>
        <w:t>, but should be taken into account in any further risk management of this substance group</w:t>
      </w:r>
      <w:r w:rsidRPr="000E0C0E">
        <w:rPr>
          <w:rFonts w:ascii="Verdana" w:hAnsi="Verdana"/>
          <w:sz w:val="20"/>
        </w:rPr>
        <w:t xml:space="preserve">. No additional controls have been proposed for </w:t>
      </w:r>
      <w:r>
        <w:rPr>
          <w:rFonts w:ascii="Verdana" w:hAnsi="Verdana"/>
          <w:sz w:val="20"/>
        </w:rPr>
        <w:t xml:space="preserve">LCCPs </w:t>
      </w:r>
      <w:r w:rsidRPr="000E0C0E">
        <w:rPr>
          <w:rFonts w:ascii="Verdana" w:hAnsi="Verdana"/>
          <w:sz w:val="20"/>
        </w:rPr>
        <w:t xml:space="preserve">to date. </w:t>
      </w:r>
    </w:p>
    <w:p w14:paraId="3B22D051" w14:textId="77777777" w:rsidR="002C467E" w:rsidRDefault="002C467E" w:rsidP="00C11D81">
      <w:pPr>
        <w:spacing w:after="200"/>
        <w:jc w:val="both"/>
        <w:rPr>
          <w:rFonts w:ascii="Verdana" w:hAnsi="Verdana"/>
          <w:sz w:val="20"/>
        </w:rPr>
      </w:pPr>
    </w:p>
    <w:p w14:paraId="39B969FC" w14:textId="77777777" w:rsidR="003D39FA" w:rsidRPr="003D39FA" w:rsidRDefault="00C00884" w:rsidP="00C00884">
      <w:pPr>
        <w:pStyle w:val="Heading1"/>
        <w:rPr>
          <w:rFonts w:ascii="Verdana" w:hAnsi="Verdana"/>
        </w:rPr>
      </w:pPr>
      <w:bookmarkStart w:id="11" w:name="_Toc285710602"/>
      <w:bookmarkStart w:id="12" w:name="_Toc308015314"/>
      <w:r w:rsidRPr="00C00884">
        <w:t xml:space="preserve"> </w:t>
      </w:r>
      <w:r w:rsidRPr="00C00884">
        <w:rPr>
          <w:rFonts w:ascii="Verdana" w:hAnsi="Verdana"/>
        </w:rPr>
        <w:t>OVERVIEW OF OTHER PROCESSES / EU LEGISLATION</w:t>
      </w:r>
      <w:r w:rsidR="00E31D69" w:rsidRPr="00E31D69">
        <w:rPr>
          <w:rFonts w:ascii="Verdana" w:hAnsi="Verdana"/>
        </w:rPr>
        <w:t xml:space="preserve"> </w:t>
      </w:r>
      <w:r w:rsidR="003D39FA" w:rsidRPr="003D39FA">
        <w:rPr>
          <w:rFonts w:ascii="Verdana" w:hAnsi="Verdana"/>
        </w:rPr>
        <w:t xml:space="preserve"> </w:t>
      </w:r>
    </w:p>
    <w:p w14:paraId="72DBDE8D" w14:textId="77777777" w:rsidR="00496C64" w:rsidRDefault="00496C64" w:rsidP="00AF1025">
      <w:pPr>
        <w:pStyle w:val="Caption"/>
        <w:rPr>
          <w:rFonts w:ascii="Verdana" w:hAnsi="Verdana"/>
          <w:b/>
          <w:sz w:val="20"/>
        </w:rPr>
      </w:pPr>
    </w:p>
    <w:p w14:paraId="39B969FD" w14:textId="0CD37E5A" w:rsidR="000E3DC6" w:rsidRDefault="002F2E37" w:rsidP="002F2E37">
      <w:pPr>
        <w:pStyle w:val="Caption"/>
        <w:rPr>
          <w:rFonts w:ascii="Verdana" w:hAnsi="Verdana"/>
          <w:b/>
          <w:sz w:val="20"/>
        </w:rPr>
      </w:pPr>
      <w:r w:rsidRPr="002F2E37">
        <w:rPr>
          <w:rFonts w:ascii="Verdana" w:hAnsi="Verdana"/>
          <w:b/>
          <w:sz w:val="20"/>
        </w:rPr>
        <w:t xml:space="preserve">Table </w:t>
      </w:r>
      <w:r w:rsidRPr="002F2E37">
        <w:rPr>
          <w:rFonts w:ascii="Verdana" w:hAnsi="Verdana"/>
          <w:b/>
          <w:sz w:val="20"/>
        </w:rPr>
        <w:fldChar w:fldCharType="begin"/>
      </w:r>
      <w:r w:rsidRPr="002F2E37">
        <w:rPr>
          <w:rFonts w:ascii="Verdana" w:hAnsi="Verdana"/>
          <w:b/>
          <w:sz w:val="20"/>
        </w:rPr>
        <w:instrText xml:space="preserve"> SEQ Table \* ARABIC </w:instrText>
      </w:r>
      <w:r w:rsidRPr="002F2E37">
        <w:rPr>
          <w:rFonts w:ascii="Verdana" w:hAnsi="Verdana"/>
          <w:b/>
          <w:sz w:val="20"/>
        </w:rPr>
        <w:fldChar w:fldCharType="separate"/>
      </w:r>
      <w:r w:rsidR="005C355A">
        <w:rPr>
          <w:rFonts w:ascii="Verdana" w:hAnsi="Verdana"/>
          <w:b/>
          <w:noProof/>
          <w:sz w:val="20"/>
        </w:rPr>
        <w:t>3</w:t>
      </w:r>
      <w:r w:rsidRPr="002F2E37">
        <w:rPr>
          <w:rFonts w:ascii="Verdana" w:hAnsi="Verdana"/>
          <w:b/>
          <w:sz w:val="20"/>
        </w:rPr>
        <w:fldChar w:fldCharType="end"/>
      </w:r>
      <w:r w:rsidR="000E3DC6" w:rsidRPr="007D2EEF">
        <w:rPr>
          <w:rFonts w:ascii="Verdana" w:hAnsi="Verdana"/>
          <w:b/>
          <w:sz w:val="20"/>
        </w:rPr>
        <w:t xml:space="preserve">:  </w:t>
      </w:r>
      <w:r w:rsidR="00D7013F" w:rsidRPr="007D2EEF">
        <w:rPr>
          <w:rFonts w:ascii="Verdana" w:hAnsi="Verdana"/>
          <w:b/>
          <w:sz w:val="20"/>
        </w:rPr>
        <w:t xml:space="preserve">Completed or ongoing </w:t>
      </w:r>
      <w:r w:rsidR="000E3DC6" w:rsidRPr="007D2EEF">
        <w:rPr>
          <w:rFonts w:ascii="Verdana" w:hAnsi="Verdana"/>
          <w:b/>
          <w:sz w:val="20"/>
        </w:rPr>
        <w:t>processes</w:t>
      </w:r>
    </w:p>
    <w:tbl>
      <w:tblPr>
        <w:tblStyle w:val="TableGrid"/>
        <w:tblW w:w="8330" w:type="dxa"/>
        <w:tblLayout w:type="fixed"/>
        <w:tblLook w:val="04A0" w:firstRow="1" w:lastRow="0" w:firstColumn="1" w:lastColumn="0" w:noHBand="0" w:noVBand="1"/>
      </w:tblPr>
      <w:tblGrid>
        <w:gridCol w:w="1413"/>
        <w:gridCol w:w="142"/>
        <w:gridCol w:w="963"/>
        <w:gridCol w:w="5812"/>
      </w:tblGrid>
      <w:tr w:rsidR="00C00884" w:rsidRPr="00DC3C42" w14:paraId="39B96A02" w14:textId="77777777" w:rsidTr="00373766">
        <w:trPr>
          <w:cantSplit/>
          <w:trHeight w:val="901"/>
        </w:trPr>
        <w:tc>
          <w:tcPr>
            <w:tcW w:w="1413" w:type="dxa"/>
            <w:textDirection w:val="btLr"/>
            <w:vAlign w:val="center"/>
          </w:tcPr>
          <w:p w14:paraId="39B969FF" w14:textId="77777777" w:rsidR="00C00884" w:rsidRPr="00D06EB3" w:rsidRDefault="00C00884" w:rsidP="00DC49AE">
            <w:pPr>
              <w:pStyle w:val="BodyText"/>
              <w:spacing w:before="120" w:after="0"/>
              <w:ind w:left="113" w:right="113"/>
              <w:jc w:val="center"/>
              <w:rPr>
                <w:rFonts w:ascii="Verdana" w:hAnsi="Verdana"/>
                <w:sz w:val="20"/>
              </w:rPr>
            </w:pPr>
            <w:r>
              <w:rPr>
                <w:rFonts w:ascii="Verdana" w:hAnsi="Verdana"/>
                <w:sz w:val="20"/>
              </w:rPr>
              <w:t>RMOA</w:t>
            </w:r>
          </w:p>
        </w:tc>
        <w:tc>
          <w:tcPr>
            <w:tcW w:w="1105" w:type="dxa"/>
            <w:gridSpan w:val="2"/>
            <w:tcBorders>
              <w:right w:val="nil"/>
            </w:tcBorders>
            <w:shd w:val="clear" w:color="auto" w:fill="auto"/>
            <w:textDirection w:val="btLr"/>
            <w:vAlign w:val="center"/>
          </w:tcPr>
          <w:p w14:paraId="39B96A00" w14:textId="77777777" w:rsidR="00C00884" w:rsidRPr="009845E0" w:rsidRDefault="00C00884" w:rsidP="00DC49AE">
            <w:pPr>
              <w:pStyle w:val="BodyText"/>
              <w:spacing w:before="120" w:after="0"/>
              <w:ind w:left="113" w:right="113"/>
              <w:jc w:val="center"/>
              <w:rPr>
                <w:rFonts w:ascii="Verdana" w:hAnsi="Verdana"/>
                <w:sz w:val="20"/>
              </w:rPr>
            </w:pPr>
          </w:p>
        </w:tc>
        <w:tc>
          <w:tcPr>
            <w:tcW w:w="5812" w:type="dxa"/>
            <w:tcBorders>
              <w:left w:val="nil"/>
            </w:tcBorders>
            <w:shd w:val="clear" w:color="auto" w:fill="auto"/>
            <w:vAlign w:val="center"/>
          </w:tcPr>
          <w:p w14:paraId="39B96A01" w14:textId="77777777" w:rsidR="00C00884" w:rsidRPr="00404EE1" w:rsidRDefault="0066361A" w:rsidP="00BC0697">
            <w:pPr>
              <w:pStyle w:val="BodyText"/>
              <w:spacing w:before="120" w:after="0"/>
              <w:ind w:left="317" w:hanging="317"/>
              <w:rPr>
                <w:rFonts w:ascii="Verdana" w:hAnsi="Verdana"/>
                <w:sz w:val="20"/>
              </w:rPr>
            </w:pPr>
            <w:sdt>
              <w:sdtPr>
                <w:rPr>
                  <w:rFonts w:ascii="Verdana" w:hAnsi="Verdana"/>
                  <w:szCs w:val="24"/>
                </w:rPr>
                <w:id w:val="1902332067"/>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w:t>
            </w:r>
            <w:r w:rsidR="00C00884">
              <w:rPr>
                <w:rFonts w:ascii="Verdana" w:hAnsi="Verdana"/>
                <w:sz w:val="20"/>
              </w:rPr>
              <w:t>Risk Manage</w:t>
            </w:r>
            <w:r w:rsidR="00C00884" w:rsidRPr="00C220E5">
              <w:rPr>
                <w:rFonts w:ascii="Verdana" w:hAnsi="Verdana"/>
                <w:sz w:val="20"/>
              </w:rPr>
              <w:t xml:space="preserve">ment Option Analysis </w:t>
            </w:r>
            <w:r w:rsidR="00C00884">
              <w:rPr>
                <w:rFonts w:ascii="Verdana" w:hAnsi="Verdana"/>
                <w:sz w:val="20"/>
              </w:rPr>
              <w:t>(RMOA)</w:t>
            </w:r>
            <w:r w:rsidR="00DB6BEC">
              <w:rPr>
                <w:rFonts w:ascii="Verdana" w:hAnsi="Verdana"/>
                <w:sz w:val="20"/>
              </w:rPr>
              <w:t xml:space="preserve"> other than this RMOA</w:t>
            </w:r>
          </w:p>
        </w:tc>
      </w:tr>
      <w:tr w:rsidR="00C00884" w:rsidRPr="00DC3C42" w14:paraId="39B96A06" w14:textId="77777777" w:rsidTr="00373766">
        <w:trPr>
          <w:cantSplit/>
          <w:trHeight w:val="559"/>
        </w:trPr>
        <w:tc>
          <w:tcPr>
            <w:tcW w:w="1413" w:type="dxa"/>
            <w:vMerge w:val="restart"/>
            <w:textDirection w:val="btLr"/>
            <w:vAlign w:val="center"/>
          </w:tcPr>
          <w:p w14:paraId="39B96A03" w14:textId="77777777" w:rsidR="00C00884" w:rsidRPr="00D06EB3" w:rsidRDefault="00C00884" w:rsidP="00DC49AE">
            <w:pPr>
              <w:pStyle w:val="BodyText"/>
              <w:spacing w:before="120" w:after="0"/>
              <w:ind w:left="113" w:right="113"/>
              <w:jc w:val="center"/>
              <w:rPr>
                <w:rFonts w:ascii="Verdana" w:hAnsi="Verdana"/>
                <w:sz w:val="20"/>
              </w:rPr>
            </w:pPr>
            <w:r>
              <w:rPr>
                <w:rFonts w:ascii="Verdana" w:hAnsi="Verdana"/>
                <w:sz w:val="20"/>
              </w:rPr>
              <w:t>REACH</w:t>
            </w:r>
            <w:r w:rsidRPr="00D06EB3">
              <w:rPr>
                <w:rFonts w:ascii="Verdana" w:hAnsi="Verdana"/>
                <w:sz w:val="20"/>
              </w:rPr>
              <w:t xml:space="preserve"> Processes</w:t>
            </w:r>
          </w:p>
        </w:tc>
        <w:tc>
          <w:tcPr>
            <w:tcW w:w="1105" w:type="dxa"/>
            <w:gridSpan w:val="2"/>
            <w:vMerge w:val="restart"/>
            <w:textDirection w:val="btLr"/>
            <w:vAlign w:val="center"/>
          </w:tcPr>
          <w:p w14:paraId="39B96A04" w14:textId="77777777" w:rsidR="00C00884" w:rsidRPr="009845E0" w:rsidRDefault="00C00884" w:rsidP="00DC49AE">
            <w:pPr>
              <w:pStyle w:val="BodyText"/>
              <w:spacing w:before="120" w:after="0"/>
              <w:ind w:left="113" w:right="113"/>
              <w:jc w:val="center"/>
              <w:rPr>
                <w:rFonts w:ascii="Verdana" w:hAnsi="Verdana"/>
                <w:sz w:val="20"/>
              </w:rPr>
            </w:pPr>
            <w:r w:rsidRPr="00E813C2">
              <w:rPr>
                <w:rFonts w:ascii="Verdana" w:hAnsi="Verdana"/>
                <w:sz w:val="20"/>
              </w:rPr>
              <w:t>Evaluation</w:t>
            </w:r>
          </w:p>
        </w:tc>
        <w:tc>
          <w:tcPr>
            <w:tcW w:w="5812" w:type="dxa"/>
            <w:vAlign w:val="center"/>
          </w:tcPr>
          <w:p w14:paraId="39B96A05" w14:textId="77777777" w:rsidR="00C00884" w:rsidRPr="00404EE1" w:rsidRDefault="0066361A" w:rsidP="00DC49AE">
            <w:pPr>
              <w:pStyle w:val="BodyText"/>
              <w:spacing w:before="120" w:after="0"/>
              <w:rPr>
                <w:rFonts w:ascii="Verdana" w:hAnsi="Verdana"/>
                <w:sz w:val="20"/>
              </w:rPr>
            </w:pPr>
            <w:sdt>
              <w:sdtPr>
                <w:rPr>
                  <w:rFonts w:ascii="Verdana" w:hAnsi="Verdana"/>
                  <w:szCs w:val="24"/>
                </w:rPr>
                <w:id w:val="1618794995"/>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Compliance check, Final decision</w:t>
            </w:r>
          </w:p>
        </w:tc>
      </w:tr>
      <w:tr w:rsidR="00C00884" w:rsidRPr="00DC3C42" w14:paraId="39B96A0A" w14:textId="77777777" w:rsidTr="00373766">
        <w:trPr>
          <w:cantSplit/>
          <w:trHeight w:val="553"/>
        </w:trPr>
        <w:tc>
          <w:tcPr>
            <w:tcW w:w="1413" w:type="dxa"/>
            <w:vMerge/>
            <w:textDirection w:val="btLr"/>
            <w:vAlign w:val="center"/>
          </w:tcPr>
          <w:p w14:paraId="39B96A07" w14:textId="77777777" w:rsidR="00C00884" w:rsidRPr="00D06EB3" w:rsidRDefault="00C00884" w:rsidP="00DC49AE">
            <w:pPr>
              <w:pStyle w:val="BodyText"/>
              <w:spacing w:before="120" w:after="0"/>
              <w:ind w:left="113" w:right="113"/>
              <w:jc w:val="center"/>
              <w:rPr>
                <w:rFonts w:ascii="Verdana" w:hAnsi="Verdana"/>
                <w:sz w:val="20"/>
              </w:rPr>
            </w:pPr>
          </w:p>
        </w:tc>
        <w:tc>
          <w:tcPr>
            <w:tcW w:w="1105" w:type="dxa"/>
            <w:gridSpan w:val="2"/>
            <w:vMerge/>
            <w:textDirection w:val="btLr"/>
            <w:vAlign w:val="center"/>
          </w:tcPr>
          <w:p w14:paraId="39B96A08" w14:textId="77777777" w:rsidR="00C00884" w:rsidRPr="009845E0" w:rsidRDefault="00C00884" w:rsidP="00DC49AE">
            <w:pPr>
              <w:pStyle w:val="BodyText"/>
              <w:spacing w:before="120" w:after="0"/>
              <w:ind w:left="113" w:right="113"/>
              <w:jc w:val="center"/>
              <w:rPr>
                <w:rFonts w:ascii="Verdana" w:hAnsi="Verdana"/>
                <w:sz w:val="20"/>
              </w:rPr>
            </w:pPr>
          </w:p>
        </w:tc>
        <w:tc>
          <w:tcPr>
            <w:tcW w:w="5812" w:type="dxa"/>
            <w:vAlign w:val="center"/>
          </w:tcPr>
          <w:p w14:paraId="39B96A09" w14:textId="77777777" w:rsidR="00C00884" w:rsidRPr="00404EE1" w:rsidRDefault="0066361A" w:rsidP="00DC49AE">
            <w:pPr>
              <w:pStyle w:val="BodyText"/>
              <w:spacing w:before="120" w:after="0"/>
              <w:rPr>
                <w:rFonts w:ascii="Verdana" w:hAnsi="Verdana"/>
                <w:sz w:val="20"/>
              </w:rPr>
            </w:pPr>
            <w:sdt>
              <w:sdtPr>
                <w:rPr>
                  <w:rFonts w:ascii="Verdana" w:hAnsi="Verdana"/>
                  <w:szCs w:val="24"/>
                </w:rPr>
                <w:id w:val="-555246610"/>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Testing proposal</w:t>
            </w:r>
          </w:p>
        </w:tc>
      </w:tr>
      <w:tr w:rsidR="00C00884" w:rsidRPr="00DC3C42" w14:paraId="39B96A0E" w14:textId="77777777" w:rsidTr="00373766">
        <w:trPr>
          <w:cantSplit/>
          <w:trHeight w:val="561"/>
        </w:trPr>
        <w:tc>
          <w:tcPr>
            <w:tcW w:w="1413" w:type="dxa"/>
            <w:vMerge/>
            <w:textDirection w:val="btLr"/>
            <w:vAlign w:val="center"/>
          </w:tcPr>
          <w:p w14:paraId="39B96A0B" w14:textId="77777777" w:rsidR="00C00884" w:rsidRPr="00D06EB3" w:rsidRDefault="00C00884" w:rsidP="00DC49AE">
            <w:pPr>
              <w:pStyle w:val="BodyText"/>
              <w:spacing w:before="120" w:after="0"/>
              <w:ind w:left="113" w:right="113"/>
              <w:jc w:val="center"/>
              <w:rPr>
                <w:rFonts w:ascii="Verdana" w:hAnsi="Verdana"/>
                <w:sz w:val="20"/>
              </w:rPr>
            </w:pPr>
          </w:p>
        </w:tc>
        <w:tc>
          <w:tcPr>
            <w:tcW w:w="1105" w:type="dxa"/>
            <w:gridSpan w:val="2"/>
            <w:vMerge/>
            <w:textDirection w:val="btLr"/>
            <w:vAlign w:val="center"/>
          </w:tcPr>
          <w:p w14:paraId="39B96A0C" w14:textId="77777777" w:rsidR="00C00884" w:rsidRPr="009845E0" w:rsidRDefault="00C00884" w:rsidP="00DC49AE">
            <w:pPr>
              <w:pStyle w:val="BodyText"/>
              <w:spacing w:before="120" w:after="0"/>
              <w:ind w:left="113" w:right="113"/>
              <w:jc w:val="center"/>
              <w:rPr>
                <w:rFonts w:ascii="Verdana" w:hAnsi="Verdana"/>
                <w:sz w:val="20"/>
              </w:rPr>
            </w:pPr>
          </w:p>
        </w:tc>
        <w:tc>
          <w:tcPr>
            <w:tcW w:w="5812" w:type="dxa"/>
            <w:vAlign w:val="center"/>
          </w:tcPr>
          <w:p w14:paraId="39B96A0D" w14:textId="7C140AE2" w:rsidR="00C00884" w:rsidRPr="00404EE1" w:rsidRDefault="0066361A" w:rsidP="00DC49AE">
            <w:pPr>
              <w:pStyle w:val="BodyText"/>
              <w:spacing w:before="120" w:after="0"/>
              <w:rPr>
                <w:rFonts w:ascii="Verdana" w:hAnsi="Verdana"/>
                <w:sz w:val="20"/>
              </w:rPr>
            </w:pPr>
            <w:sdt>
              <w:sdtPr>
                <w:rPr>
                  <w:rFonts w:ascii="Verdana" w:hAnsi="Verdana"/>
                  <w:szCs w:val="24"/>
                </w:rPr>
                <w:id w:val="1708519159"/>
                <w14:checkbox>
                  <w14:checked w14:val="1"/>
                  <w14:checkedState w14:val="2612" w14:font="MS Gothic"/>
                  <w14:uncheckedState w14:val="2610" w14:font="MS Gothic"/>
                </w14:checkbox>
              </w:sdtPr>
              <w:sdtContent>
                <w:r w:rsidR="00EF4977">
                  <w:rPr>
                    <w:rFonts w:ascii="MS Gothic" w:eastAsia="MS Gothic" w:hAnsi="MS Gothic" w:hint="eastAsia"/>
                    <w:szCs w:val="24"/>
                  </w:rPr>
                  <w:t>☒</w:t>
                </w:r>
              </w:sdtContent>
            </w:sdt>
            <w:r w:rsidR="00C00884" w:rsidRPr="00404EE1">
              <w:rPr>
                <w:rFonts w:ascii="Verdana" w:hAnsi="Verdana"/>
                <w:sz w:val="20"/>
              </w:rPr>
              <w:t xml:space="preserve"> </w:t>
            </w:r>
            <w:proofErr w:type="spellStart"/>
            <w:r w:rsidR="00C00884">
              <w:rPr>
                <w:rFonts w:ascii="Verdana" w:hAnsi="Verdana"/>
                <w:sz w:val="20"/>
              </w:rPr>
              <w:t>CoRAP</w:t>
            </w:r>
            <w:proofErr w:type="spellEnd"/>
            <w:r w:rsidR="00C00884">
              <w:rPr>
                <w:rFonts w:ascii="Verdana" w:hAnsi="Verdana"/>
                <w:sz w:val="20"/>
              </w:rPr>
              <w:t xml:space="preserve"> and Substance Evaluation</w:t>
            </w:r>
          </w:p>
        </w:tc>
      </w:tr>
      <w:tr w:rsidR="00C00884" w:rsidRPr="00DC3C42" w14:paraId="39B96A12" w14:textId="77777777" w:rsidTr="00373766">
        <w:trPr>
          <w:cantSplit/>
          <w:trHeight w:val="838"/>
        </w:trPr>
        <w:tc>
          <w:tcPr>
            <w:tcW w:w="1413" w:type="dxa"/>
            <w:vMerge/>
            <w:textDirection w:val="btLr"/>
            <w:vAlign w:val="center"/>
          </w:tcPr>
          <w:p w14:paraId="39B96A0F" w14:textId="77777777" w:rsidR="00C00884" w:rsidRPr="00D06EB3" w:rsidRDefault="00C00884" w:rsidP="00DC49AE">
            <w:pPr>
              <w:pStyle w:val="BodyText"/>
              <w:spacing w:before="120" w:after="0"/>
              <w:ind w:left="113" w:right="113"/>
              <w:jc w:val="center"/>
              <w:rPr>
                <w:rFonts w:ascii="Verdana" w:hAnsi="Verdana"/>
                <w:sz w:val="20"/>
              </w:rPr>
            </w:pPr>
          </w:p>
        </w:tc>
        <w:tc>
          <w:tcPr>
            <w:tcW w:w="1105" w:type="dxa"/>
            <w:gridSpan w:val="2"/>
            <w:vMerge w:val="restart"/>
            <w:textDirection w:val="btLr"/>
            <w:vAlign w:val="center"/>
          </w:tcPr>
          <w:p w14:paraId="39B96A10" w14:textId="77777777" w:rsidR="00C00884" w:rsidRPr="00D06EB3" w:rsidRDefault="00C00884" w:rsidP="00DC49AE">
            <w:pPr>
              <w:pStyle w:val="BodyText"/>
              <w:spacing w:before="120" w:after="0"/>
              <w:ind w:left="113" w:right="113"/>
              <w:jc w:val="center"/>
              <w:rPr>
                <w:rFonts w:ascii="Verdana" w:hAnsi="Verdana"/>
                <w:sz w:val="20"/>
              </w:rPr>
            </w:pPr>
            <w:r w:rsidRPr="009845E0">
              <w:rPr>
                <w:rFonts w:ascii="Verdana" w:hAnsi="Verdana"/>
                <w:sz w:val="20"/>
              </w:rPr>
              <w:t>Authori</w:t>
            </w:r>
            <w:r>
              <w:rPr>
                <w:rFonts w:ascii="Verdana" w:hAnsi="Verdana"/>
                <w:sz w:val="20"/>
              </w:rPr>
              <w:t>s</w:t>
            </w:r>
            <w:r w:rsidRPr="009845E0">
              <w:rPr>
                <w:rFonts w:ascii="Verdana" w:hAnsi="Verdana"/>
                <w:sz w:val="20"/>
              </w:rPr>
              <w:t>ation</w:t>
            </w:r>
          </w:p>
        </w:tc>
        <w:tc>
          <w:tcPr>
            <w:tcW w:w="5812" w:type="dxa"/>
            <w:vAlign w:val="center"/>
          </w:tcPr>
          <w:p w14:paraId="39B96A11" w14:textId="77777777" w:rsidR="00C00884" w:rsidRPr="00404EE1" w:rsidRDefault="0066361A" w:rsidP="00DC49AE">
            <w:pPr>
              <w:pStyle w:val="BodyText"/>
              <w:spacing w:before="120" w:after="0"/>
              <w:rPr>
                <w:rFonts w:ascii="Verdana" w:hAnsi="Verdana"/>
                <w:sz w:val="20"/>
              </w:rPr>
            </w:pPr>
            <w:sdt>
              <w:sdtPr>
                <w:rPr>
                  <w:rFonts w:ascii="Verdana" w:hAnsi="Verdana"/>
                  <w:szCs w:val="24"/>
                </w:rPr>
                <w:id w:val="-1573199791"/>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w:t>
            </w:r>
            <w:r w:rsidR="00C00884" w:rsidRPr="009845E0">
              <w:rPr>
                <w:rFonts w:ascii="Verdana" w:hAnsi="Verdana"/>
                <w:sz w:val="20"/>
              </w:rPr>
              <w:t>Candidate List</w:t>
            </w:r>
          </w:p>
        </w:tc>
      </w:tr>
      <w:tr w:rsidR="00C00884" w:rsidRPr="00DC3C42" w14:paraId="39B96A16" w14:textId="77777777" w:rsidTr="00373766">
        <w:trPr>
          <w:cantSplit/>
          <w:trHeight w:val="838"/>
        </w:trPr>
        <w:tc>
          <w:tcPr>
            <w:tcW w:w="1413" w:type="dxa"/>
            <w:vMerge/>
            <w:textDirection w:val="btLr"/>
            <w:vAlign w:val="center"/>
          </w:tcPr>
          <w:p w14:paraId="39B96A13" w14:textId="77777777" w:rsidR="00C00884" w:rsidRPr="00D06EB3" w:rsidRDefault="00C00884" w:rsidP="00DC49AE">
            <w:pPr>
              <w:pStyle w:val="BodyText"/>
              <w:spacing w:before="120" w:after="0"/>
              <w:ind w:left="113" w:right="113"/>
              <w:jc w:val="center"/>
              <w:rPr>
                <w:rFonts w:ascii="Verdana" w:hAnsi="Verdana"/>
                <w:sz w:val="20"/>
              </w:rPr>
            </w:pPr>
          </w:p>
        </w:tc>
        <w:tc>
          <w:tcPr>
            <w:tcW w:w="1105" w:type="dxa"/>
            <w:gridSpan w:val="2"/>
            <w:vMerge/>
            <w:textDirection w:val="btLr"/>
            <w:vAlign w:val="center"/>
          </w:tcPr>
          <w:p w14:paraId="39B96A14" w14:textId="77777777" w:rsidR="00C00884" w:rsidRPr="00D06EB3" w:rsidRDefault="00C00884" w:rsidP="00DC49AE">
            <w:pPr>
              <w:pStyle w:val="BodyText"/>
              <w:spacing w:before="120" w:after="0"/>
              <w:ind w:left="113" w:right="113"/>
              <w:jc w:val="center"/>
              <w:rPr>
                <w:rFonts w:ascii="Verdana" w:hAnsi="Verdana"/>
                <w:sz w:val="20"/>
              </w:rPr>
            </w:pPr>
          </w:p>
        </w:tc>
        <w:tc>
          <w:tcPr>
            <w:tcW w:w="5812" w:type="dxa"/>
            <w:vAlign w:val="center"/>
          </w:tcPr>
          <w:p w14:paraId="39B96A15" w14:textId="77777777" w:rsidR="00C00884" w:rsidRPr="00404EE1" w:rsidRDefault="0066361A" w:rsidP="00DC49AE">
            <w:pPr>
              <w:pStyle w:val="BodyText"/>
              <w:spacing w:before="120" w:after="0"/>
              <w:rPr>
                <w:rFonts w:ascii="Verdana" w:hAnsi="Verdana"/>
                <w:sz w:val="20"/>
              </w:rPr>
            </w:pPr>
            <w:sdt>
              <w:sdtPr>
                <w:rPr>
                  <w:rFonts w:ascii="Verdana" w:hAnsi="Verdana"/>
                  <w:szCs w:val="24"/>
                </w:rPr>
                <w:id w:val="-305165667"/>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w:t>
            </w:r>
            <w:r w:rsidR="00C00884" w:rsidRPr="009845E0">
              <w:rPr>
                <w:rFonts w:ascii="Verdana" w:hAnsi="Verdana"/>
                <w:sz w:val="20"/>
              </w:rPr>
              <w:t xml:space="preserve">Annex XIV </w:t>
            </w:r>
          </w:p>
        </w:tc>
      </w:tr>
      <w:tr w:rsidR="00C00884" w:rsidRPr="00DC3C42" w14:paraId="39B96A1A" w14:textId="77777777" w:rsidTr="00373766">
        <w:trPr>
          <w:cantSplit/>
          <w:trHeight w:val="896"/>
        </w:trPr>
        <w:tc>
          <w:tcPr>
            <w:tcW w:w="1413" w:type="dxa"/>
            <w:vMerge/>
            <w:textDirection w:val="btLr"/>
            <w:vAlign w:val="center"/>
          </w:tcPr>
          <w:p w14:paraId="39B96A17" w14:textId="77777777" w:rsidR="00C00884" w:rsidRPr="00D06EB3" w:rsidRDefault="00C00884" w:rsidP="00DC49AE">
            <w:pPr>
              <w:pStyle w:val="BodyText"/>
              <w:spacing w:before="120" w:after="0"/>
              <w:ind w:left="113" w:right="113"/>
              <w:jc w:val="center"/>
              <w:rPr>
                <w:rFonts w:ascii="Verdana" w:hAnsi="Verdana"/>
                <w:sz w:val="20"/>
              </w:rPr>
            </w:pPr>
          </w:p>
        </w:tc>
        <w:tc>
          <w:tcPr>
            <w:tcW w:w="1105" w:type="dxa"/>
            <w:gridSpan w:val="2"/>
            <w:tcBorders>
              <w:bottom w:val="single" w:sz="4" w:space="0" w:color="auto"/>
            </w:tcBorders>
            <w:textDirection w:val="btLr"/>
            <w:vAlign w:val="center"/>
          </w:tcPr>
          <w:p w14:paraId="39B96A18" w14:textId="77777777" w:rsidR="00C00884" w:rsidRPr="00D06EB3" w:rsidRDefault="00C00884" w:rsidP="00DC49AE">
            <w:pPr>
              <w:pStyle w:val="BodyText"/>
              <w:spacing w:before="120" w:after="0"/>
              <w:ind w:left="113" w:right="113"/>
              <w:jc w:val="center"/>
              <w:rPr>
                <w:rFonts w:ascii="Verdana" w:hAnsi="Verdana"/>
                <w:sz w:val="20"/>
              </w:rPr>
            </w:pPr>
            <w:proofErr w:type="spellStart"/>
            <w:r w:rsidRPr="009845E0">
              <w:rPr>
                <w:rFonts w:ascii="Verdana" w:hAnsi="Verdana"/>
                <w:sz w:val="20"/>
              </w:rPr>
              <w:t>Restri</w:t>
            </w:r>
            <w:r>
              <w:rPr>
                <w:rFonts w:ascii="Verdana" w:hAnsi="Verdana"/>
                <w:sz w:val="20"/>
              </w:rPr>
              <w:t>-</w:t>
            </w:r>
            <w:r w:rsidRPr="009845E0">
              <w:rPr>
                <w:rFonts w:ascii="Verdana" w:hAnsi="Verdana"/>
                <w:sz w:val="20"/>
              </w:rPr>
              <w:t>ction</w:t>
            </w:r>
            <w:proofErr w:type="spellEnd"/>
          </w:p>
        </w:tc>
        <w:tc>
          <w:tcPr>
            <w:tcW w:w="5812" w:type="dxa"/>
            <w:tcBorders>
              <w:bottom w:val="single" w:sz="4" w:space="0" w:color="auto"/>
            </w:tcBorders>
            <w:vAlign w:val="center"/>
          </w:tcPr>
          <w:p w14:paraId="39B96A19" w14:textId="2A05E9FE" w:rsidR="00A365A9" w:rsidRPr="00404EE1" w:rsidRDefault="0066361A" w:rsidP="00373766">
            <w:pPr>
              <w:pStyle w:val="BodyText"/>
              <w:spacing w:before="120" w:after="0"/>
              <w:rPr>
                <w:rFonts w:ascii="Verdana" w:hAnsi="Verdana"/>
                <w:sz w:val="20"/>
              </w:rPr>
            </w:pPr>
            <w:sdt>
              <w:sdtPr>
                <w:rPr>
                  <w:rFonts w:ascii="Verdana" w:hAnsi="Verdana"/>
                  <w:szCs w:val="24"/>
                </w:rPr>
                <w:id w:val="-1799371774"/>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w:t>
            </w:r>
            <w:r w:rsidR="00C00884" w:rsidRPr="00074765">
              <w:rPr>
                <w:rFonts w:ascii="Verdana" w:hAnsi="Verdana"/>
                <w:sz w:val="20"/>
              </w:rPr>
              <w:t>Annex XVII</w:t>
            </w:r>
          </w:p>
        </w:tc>
      </w:tr>
      <w:tr w:rsidR="00C00884" w:rsidRPr="00DC3C42" w14:paraId="39B96A1E" w14:textId="77777777" w:rsidTr="00373766">
        <w:trPr>
          <w:cantSplit/>
          <w:trHeight w:val="1475"/>
        </w:trPr>
        <w:tc>
          <w:tcPr>
            <w:tcW w:w="1413" w:type="dxa"/>
            <w:textDirection w:val="btLr"/>
            <w:vAlign w:val="center"/>
          </w:tcPr>
          <w:p w14:paraId="39B96A1B" w14:textId="77777777" w:rsidR="00C00884" w:rsidRPr="00037AE8" w:rsidRDefault="00C00884" w:rsidP="00DC49AE">
            <w:pPr>
              <w:pStyle w:val="BodyText"/>
              <w:spacing w:before="120" w:after="0"/>
              <w:ind w:left="113" w:right="113"/>
              <w:jc w:val="center"/>
              <w:rPr>
                <w:rFonts w:ascii="Verdana" w:hAnsi="Verdana"/>
                <w:sz w:val="20"/>
              </w:rPr>
            </w:pPr>
            <w:r w:rsidRPr="00D06EB3">
              <w:rPr>
                <w:rFonts w:ascii="Verdana" w:hAnsi="Verdana"/>
                <w:sz w:val="20"/>
              </w:rPr>
              <w:t>Harmonised C&amp;L</w:t>
            </w:r>
            <w:r>
              <w:rPr>
                <w:rFonts w:ascii="Verdana" w:hAnsi="Verdana"/>
                <w:sz w:val="20"/>
              </w:rPr>
              <w:t xml:space="preserve"> </w:t>
            </w:r>
          </w:p>
        </w:tc>
        <w:tc>
          <w:tcPr>
            <w:tcW w:w="1105" w:type="dxa"/>
            <w:gridSpan w:val="2"/>
            <w:tcBorders>
              <w:right w:val="nil"/>
            </w:tcBorders>
            <w:textDirection w:val="btLr"/>
            <w:vAlign w:val="center"/>
          </w:tcPr>
          <w:p w14:paraId="39B96A1C" w14:textId="77777777" w:rsidR="00C00884" w:rsidRPr="00D06EB3" w:rsidRDefault="00C00884" w:rsidP="00DC49AE">
            <w:pPr>
              <w:pStyle w:val="BodyText"/>
              <w:spacing w:before="120" w:after="0"/>
              <w:ind w:left="113" w:right="113"/>
              <w:jc w:val="center"/>
              <w:rPr>
                <w:rFonts w:ascii="Verdana" w:hAnsi="Verdana"/>
                <w:sz w:val="20"/>
              </w:rPr>
            </w:pPr>
          </w:p>
        </w:tc>
        <w:tc>
          <w:tcPr>
            <w:tcW w:w="5812" w:type="dxa"/>
            <w:tcBorders>
              <w:left w:val="nil"/>
            </w:tcBorders>
            <w:vAlign w:val="center"/>
          </w:tcPr>
          <w:p w14:paraId="39B96A1D" w14:textId="1D665467" w:rsidR="00C00884" w:rsidRPr="00404EE1" w:rsidRDefault="0066361A" w:rsidP="00DC49AE">
            <w:pPr>
              <w:pStyle w:val="BodyText"/>
              <w:spacing w:before="120" w:after="0"/>
              <w:rPr>
                <w:rFonts w:ascii="Verdana" w:hAnsi="Verdana"/>
                <w:sz w:val="20"/>
              </w:rPr>
            </w:pPr>
            <w:sdt>
              <w:sdtPr>
                <w:rPr>
                  <w:rFonts w:ascii="Verdana" w:hAnsi="Verdana"/>
                  <w:szCs w:val="24"/>
                </w:rPr>
                <w:id w:val="-1422323023"/>
                <w14:checkbox>
                  <w14:checked w14:val="1"/>
                  <w14:checkedState w14:val="2612" w14:font="MS Gothic"/>
                  <w14:uncheckedState w14:val="2610" w14:font="MS Gothic"/>
                </w14:checkbox>
              </w:sdtPr>
              <w:sdtContent>
                <w:r w:rsidR="00496C64">
                  <w:rPr>
                    <w:rFonts w:ascii="MS Gothic" w:eastAsia="MS Gothic" w:hAnsi="MS Gothic" w:hint="eastAsia"/>
                    <w:szCs w:val="24"/>
                  </w:rPr>
                  <w:t>☒</w:t>
                </w:r>
              </w:sdtContent>
            </w:sdt>
            <w:r w:rsidR="00C00884" w:rsidRPr="00404EE1">
              <w:rPr>
                <w:rFonts w:ascii="Verdana" w:hAnsi="Verdana"/>
                <w:sz w:val="20"/>
              </w:rPr>
              <w:t xml:space="preserve"> Annex VI (CLP)</w:t>
            </w:r>
            <w:r w:rsidR="00C00884">
              <w:rPr>
                <w:rFonts w:ascii="Verdana" w:hAnsi="Verdana"/>
                <w:sz w:val="20"/>
              </w:rPr>
              <w:t xml:space="preserve"> (see section 3.1)</w:t>
            </w:r>
          </w:p>
        </w:tc>
      </w:tr>
      <w:tr w:rsidR="006513B1" w:rsidRPr="00DC3C42" w14:paraId="39B96A23" w14:textId="77777777" w:rsidTr="00373766">
        <w:trPr>
          <w:cantSplit/>
          <w:trHeight w:val="726"/>
        </w:trPr>
        <w:tc>
          <w:tcPr>
            <w:tcW w:w="1555" w:type="dxa"/>
            <w:gridSpan w:val="2"/>
            <w:vMerge w:val="restart"/>
            <w:textDirection w:val="btLr"/>
            <w:vAlign w:val="center"/>
          </w:tcPr>
          <w:p w14:paraId="39B96A1F" w14:textId="60267DEB" w:rsidR="006513B1" w:rsidRPr="00037AE8" w:rsidRDefault="00373766" w:rsidP="00DC49AE">
            <w:pPr>
              <w:pStyle w:val="BodyText"/>
              <w:spacing w:before="120" w:after="0"/>
              <w:ind w:left="113" w:right="113"/>
              <w:jc w:val="center"/>
              <w:rPr>
                <w:rFonts w:ascii="Verdana" w:hAnsi="Verdana"/>
                <w:sz w:val="20"/>
              </w:rPr>
            </w:pPr>
            <w:r>
              <w:br w:type="page"/>
            </w:r>
            <w:r w:rsidR="006513B1" w:rsidRPr="00361575">
              <w:rPr>
                <w:rFonts w:ascii="Verdana" w:hAnsi="Verdana"/>
                <w:sz w:val="20"/>
              </w:rPr>
              <w:t>Processes under other EU legislation</w:t>
            </w:r>
          </w:p>
        </w:tc>
        <w:tc>
          <w:tcPr>
            <w:tcW w:w="963" w:type="dxa"/>
            <w:tcBorders>
              <w:right w:val="nil"/>
            </w:tcBorders>
            <w:textDirection w:val="btLr"/>
            <w:vAlign w:val="center"/>
          </w:tcPr>
          <w:p w14:paraId="39B96A20" w14:textId="77777777" w:rsidR="006513B1" w:rsidRPr="00D06EB3" w:rsidRDefault="006513B1" w:rsidP="00DC49AE">
            <w:pPr>
              <w:pStyle w:val="BodyText"/>
              <w:spacing w:before="120" w:after="0"/>
              <w:ind w:left="113" w:right="113"/>
              <w:jc w:val="center"/>
              <w:rPr>
                <w:rFonts w:ascii="Verdana" w:hAnsi="Verdana"/>
                <w:sz w:val="20"/>
              </w:rPr>
            </w:pPr>
          </w:p>
        </w:tc>
        <w:tc>
          <w:tcPr>
            <w:tcW w:w="5812" w:type="dxa"/>
            <w:tcBorders>
              <w:left w:val="nil"/>
            </w:tcBorders>
            <w:vAlign w:val="center"/>
          </w:tcPr>
          <w:p w14:paraId="39B96A21" w14:textId="77777777" w:rsidR="006513B1" w:rsidRDefault="0066361A" w:rsidP="000E324D">
            <w:pPr>
              <w:pStyle w:val="BodyText"/>
              <w:spacing w:before="120" w:after="0"/>
              <w:ind w:left="459" w:hanging="459"/>
              <w:jc w:val="left"/>
              <w:rPr>
                <w:rFonts w:ascii="Verdana" w:hAnsi="Verdana"/>
                <w:sz w:val="20"/>
              </w:rPr>
            </w:pPr>
            <w:sdt>
              <w:sdtPr>
                <w:rPr>
                  <w:rFonts w:ascii="Verdana" w:hAnsi="Verdana"/>
                  <w:szCs w:val="24"/>
                </w:rPr>
                <w:id w:val="2114626067"/>
                <w14:checkbox>
                  <w14:checked w14:val="0"/>
                  <w14:checkedState w14:val="2612" w14:font="MS Gothic"/>
                  <w14:uncheckedState w14:val="2610" w14:font="MS Gothic"/>
                </w14:checkbox>
              </w:sdtPr>
              <w:sdtContent>
                <w:r w:rsidR="006513B1">
                  <w:rPr>
                    <w:rFonts w:ascii="MS Gothic" w:eastAsia="MS Gothic" w:hAnsi="MS Gothic" w:hint="eastAsia"/>
                    <w:szCs w:val="24"/>
                  </w:rPr>
                  <w:t>☐</w:t>
                </w:r>
              </w:sdtContent>
            </w:sdt>
            <w:r w:rsidR="006513B1" w:rsidRPr="009940A8">
              <w:rPr>
                <w:rFonts w:ascii="Verdana" w:hAnsi="Verdana"/>
                <w:sz w:val="20"/>
              </w:rPr>
              <w:t xml:space="preserve"> </w:t>
            </w:r>
            <w:r w:rsidR="006513B1" w:rsidRPr="00404EE1">
              <w:rPr>
                <w:rFonts w:ascii="Verdana" w:hAnsi="Verdana"/>
                <w:sz w:val="20"/>
              </w:rPr>
              <w:t>Plant Protection Products Regulation</w:t>
            </w:r>
            <w:r w:rsidR="006513B1">
              <w:rPr>
                <w:rFonts w:ascii="Verdana" w:hAnsi="Verdana"/>
                <w:sz w:val="20"/>
              </w:rPr>
              <w:t xml:space="preserve"> </w:t>
            </w:r>
          </w:p>
          <w:p w14:paraId="39B96A22" w14:textId="77777777" w:rsidR="006513B1" w:rsidRPr="009940A8" w:rsidRDefault="006513B1" w:rsidP="006513B1">
            <w:pPr>
              <w:pStyle w:val="BodyText"/>
              <w:spacing w:before="120" w:after="0"/>
              <w:ind w:left="317"/>
              <w:jc w:val="left"/>
              <w:rPr>
                <w:rFonts w:ascii="Verdana" w:hAnsi="Verdana"/>
                <w:sz w:val="20"/>
              </w:rPr>
            </w:pPr>
            <w:r>
              <w:rPr>
                <w:rFonts w:ascii="Verdana" w:hAnsi="Verdana"/>
                <w:sz w:val="20"/>
              </w:rPr>
              <w:t>Regulation</w:t>
            </w:r>
            <w:r w:rsidRPr="00404EE1">
              <w:rPr>
                <w:rFonts w:ascii="Verdana" w:hAnsi="Verdana"/>
                <w:sz w:val="20"/>
              </w:rPr>
              <w:t xml:space="preserve"> </w:t>
            </w:r>
            <w:r>
              <w:rPr>
                <w:rFonts w:ascii="Verdana" w:hAnsi="Verdana"/>
                <w:sz w:val="20"/>
              </w:rPr>
              <w:t xml:space="preserve">(EC) No 1107/2009 </w:t>
            </w:r>
          </w:p>
        </w:tc>
      </w:tr>
      <w:tr w:rsidR="006513B1" w:rsidRPr="00037AE8" w14:paraId="39B96A28" w14:textId="77777777" w:rsidTr="00373766">
        <w:trPr>
          <w:cantSplit/>
          <w:trHeight w:val="694"/>
        </w:trPr>
        <w:tc>
          <w:tcPr>
            <w:tcW w:w="1555" w:type="dxa"/>
            <w:gridSpan w:val="2"/>
            <w:vMerge/>
            <w:textDirection w:val="btLr"/>
            <w:vAlign w:val="center"/>
          </w:tcPr>
          <w:p w14:paraId="39B96A24" w14:textId="77777777" w:rsidR="006513B1" w:rsidRPr="00831D14" w:rsidRDefault="006513B1" w:rsidP="00DC49AE">
            <w:pPr>
              <w:pStyle w:val="BodyText"/>
              <w:spacing w:before="120" w:after="0"/>
              <w:ind w:left="113" w:right="113"/>
              <w:jc w:val="center"/>
              <w:rPr>
                <w:rFonts w:ascii="Verdana" w:hAnsi="Verdana"/>
                <w:sz w:val="20"/>
              </w:rPr>
            </w:pPr>
          </w:p>
        </w:tc>
        <w:tc>
          <w:tcPr>
            <w:tcW w:w="963" w:type="dxa"/>
            <w:tcBorders>
              <w:right w:val="nil"/>
            </w:tcBorders>
            <w:textDirection w:val="btLr"/>
            <w:vAlign w:val="center"/>
          </w:tcPr>
          <w:p w14:paraId="39B96A25" w14:textId="77777777" w:rsidR="006513B1" w:rsidRPr="001F1FCC" w:rsidRDefault="006513B1" w:rsidP="00DC49AE">
            <w:pPr>
              <w:pStyle w:val="BodyText"/>
              <w:spacing w:before="120" w:after="0"/>
              <w:ind w:left="113" w:right="113"/>
              <w:jc w:val="center"/>
              <w:rPr>
                <w:rFonts w:ascii="Verdana" w:hAnsi="Verdana"/>
                <w:sz w:val="20"/>
              </w:rPr>
            </w:pPr>
          </w:p>
        </w:tc>
        <w:tc>
          <w:tcPr>
            <w:tcW w:w="5812" w:type="dxa"/>
            <w:tcBorders>
              <w:left w:val="nil"/>
            </w:tcBorders>
            <w:vAlign w:val="center"/>
          </w:tcPr>
          <w:p w14:paraId="39B96A26" w14:textId="77777777" w:rsidR="006513B1" w:rsidRDefault="0066361A" w:rsidP="000E324D">
            <w:pPr>
              <w:pStyle w:val="BodyText"/>
              <w:spacing w:before="120" w:after="0"/>
              <w:ind w:left="317" w:hanging="317"/>
              <w:jc w:val="left"/>
              <w:rPr>
                <w:rFonts w:ascii="Verdana" w:hAnsi="Verdana"/>
                <w:sz w:val="20"/>
              </w:rPr>
            </w:pPr>
            <w:sdt>
              <w:sdtPr>
                <w:rPr>
                  <w:rFonts w:ascii="Verdana" w:hAnsi="Verdana"/>
                  <w:szCs w:val="24"/>
                </w:rPr>
                <w:id w:val="1651639555"/>
                <w14:checkbox>
                  <w14:checked w14:val="0"/>
                  <w14:checkedState w14:val="2612" w14:font="MS Gothic"/>
                  <w14:uncheckedState w14:val="2610" w14:font="MS Gothic"/>
                </w14:checkbox>
              </w:sdtPr>
              <w:sdtContent>
                <w:r w:rsidR="006513B1">
                  <w:rPr>
                    <w:rFonts w:ascii="MS Gothic" w:eastAsia="MS Gothic" w:hAnsi="MS Gothic" w:hint="eastAsia"/>
                    <w:szCs w:val="24"/>
                  </w:rPr>
                  <w:t>☐</w:t>
                </w:r>
              </w:sdtContent>
            </w:sdt>
            <w:r w:rsidR="006513B1" w:rsidRPr="00404EE1">
              <w:rPr>
                <w:rFonts w:ascii="Verdana" w:hAnsi="Verdana"/>
                <w:sz w:val="20"/>
              </w:rPr>
              <w:t xml:space="preserve"> Biocidal Product Regulation</w:t>
            </w:r>
          </w:p>
          <w:p w14:paraId="39B96A27" w14:textId="77777777" w:rsidR="006513B1" w:rsidRPr="00404EE1" w:rsidRDefault="006513B1" w:rsidP="006513B1">
            <w:pPr>
              <w:pStyle w:val="BodyText"/>
              <w:spacing w:before="120" w:after="0"/>
              <w:ind w:left="317"/>
              <w:jc w:val="left"/>
              <w:rPr>
                <w:rFonts w:ascii="Verdana" w:hAnsi="Verdana"/>
                <w:sz w:val="20"/>
              </w:rPr>
            </w:pPr>
            <w:r>
              <w:rPr>
                <w:rFonts w:ascii="Verdana" w:hAnsi="Verdana"/>
                <w:sz w:val="20"/>
              </w:rPr>
              <w:t>Regulation</w:t>
            </w:r>
            <w:r w:rsidRPr="00404EE1">
              <w:rPr>
                <w:rFonts w:ascii="Verdana" w:hAnsi="Verdana"/>
                <w:sz w:val="20"/>
              </w:rPr>
              <w:t xml:space="preserve"> (EU) 528/2012</w:t>
            </w:r>
            <w:r>
              <w:rPr>
                <w:rFonts w:ascii="Verdana" w:hAnsi="Verdana"/>
                <w:sz w:val="20"/>
              </w:rPr>
              <w:t xml:space="preserve"> and amendments</w:t>
            </w:r>
            <w:r w:rsidRPr="00404EE1">
              <w:rPr>
                <w:rFonts w:ascii="Verdana" w:hAnsi="Verdana"/>
                <w:sz w:val="20"/>
              </w:rPr>
              <w:t xml:space="preserve"> </w:t>
            </w:r>
            <w:r>
              <w:rPr>
                <w:rFonts w:ascii="Verdana" w:hAnsi="Verdana"/>
                <w:sz w:val="20"/>
              </w:rPr>
              <w:t xml:space="preserve"> </w:t>
            </w:r>
          </w:p>
        </w:tc>
      </w:tr>
      <w:tr w:rsidR="006513B1" w:rsidRPr="00853DDE" w14:paraId="39B96A2D" w14:textId="77777777" w:rsidTr="00373766">
        <w:trPr>
          <w:cantSplit/>
          <w:trHeight w:val="704"/>
        </w:trPr>
        <w:tc>
          <w:tcPr>
            <w:tcW w:w="1555" w:type="dxa"/>
            <w:gridSpan w:val="2"/>
            <w:vMerge w:val="restart"/>
            <w:textDirection w:val="btLr"/>
            <w:vAlign w:val="center"/>
          </w:tcPr>
          <w:p w14:paraId="39B96A29" w14:textId="77777777" w:rsidR="006513B1" w:rsidRPr="003E5AC2" w:rsidRDefault="006513B1" w:rsidP="00DC49AE">
            <w:pPr>
              <w:pStyle w:val="BodyText"/>
              <w:spacing w:before="120" w:after="0"/>
              <w:ind w:left="113" w:right="113"/>
              <w:jc w:val="center"/>
              <w:rPr>
                <w:rFonts w:ascii="Verdana" w:hAnsi="Verdana"/>
                <w:sz w:val="20"/>
              </w:rPr>
            </w:pPr>
            <w:r>
              <w:rPr>
                <w:rFonts w:ascii="Verdana" w:hAnsi="Verdana"/>
                <w:sz w:val="20"/>
              </w:rPr>
              <w:t>Previous legislation</w:t>
            </w:r>
          </w:p>
        </w:tc>
        <w:tc>
          <w:tcPr>
            <w:tcW w:w="963" w:type="dxa"/>
            <w:tcBorders>
              <w:right w:val="nil"/>
            </w:tcBorders>
            <w:textDirection w:val="btLr"/>
            <w:vAlign w:val="center"/>
          </w:tcPr>
          <w:p w14:paraId="39B96A2A" w14:textId="77777777" w:rsidR="006513B1" w:rsidRPr="003E5AC2" w:rsidRDefault="006513B1" w:rsidP="00DC49AE">
            <w:pPr>
              <w:pStyle w:val="BodyText"/>
              <w:spacing w:before="120" w:after="0"/>
              <w:ind w:left="113" w:right="113"/>
              <w:jc w:val="center"/>
              <w:rPr>
                <w:rFonts w:ascii="Verdana" w:hAnsi="Verdana"/>
                <w:sz w:val="20"/>
              </w:rPr>
            </w:pPr>
          </w:p>
        </w:tc>
        <w:tc>
          <w:tcPr>
            <w:tcW w:w="5812" w:type="dxa"/>
            <w:tcBorders>
              <w:left w:val="nil"/>
            </w:tcBorders>
            <w:vAlign w:val="center"/>
          </w:tcPr>
          <w:p w14:paraId="39B96A2B" w14:textId="60B829F9" w:rsidR="006513B1" w:rsidRDefault="0066361A" w:rsidP="000E324D">
            <w:pPr>
              <w:pStyle w:val="BodyText"/>
              <w:spacing w:before="120" w:after="0"/>
              <w:ind w:left="317" w:hanging="317"/>
              <w:jc w:val="left"/>
              <w:rPr>
                <w:rFonts w:ascii="Verdana" w:hAnsi="Verdana"/>
                <w:sz w:val="20"/>
                <w:lang w:val="fr-FR"/>
              </w:rPr>
            </w:pPr>
            <w:sdt>
              <w:sdtPr>
                <w:rPr>
                  <w:rFonts w:ascii="Verdana" w:hAnsi="Verdana"/>
                  <w:szCs w:val="24"/>
                  <w:lang w:val="fr-BE"/>
                </w:rPr>
                <w:id w:val="2022975554"/>
                <w14:checkbox>
                  <w14:checked w14:val="0"/>
                  <w14:checkedState w14:val="2612" w14:font="MS Gothic"/>
                  <w14:uncheckedState w14:val="2610" w14:font="MS Gothic"/>
                </w14:checkbox>
              </w:sdtPr>
              <w:sdtContent>
                <w:r w:rsidR="00264A2B">
                  <w:rPr>
                    <w:rFonts w:ascii="MS Gothic" w:eastAsia="MS Gothic" w:hAnsi="MS Gothic" w:hint="eastAsia"/>
                    <w:szCs w:val="24"/>
                    <w:lang w:val="fr-BE"/>
                  </w:rPr>
                  <w:t>☐</w:t>
                </w:r>
              </w:sdtContent>
            </w:sdt>
            <w:r w:rsidR="006513B1" w:rsidRPr="0048058C">
              <w:rPr>
                <w:rFonts w:ascii="Verdana" w:hAnsi="Verdana"/>
                <w:sz w:val="20"/>
                <w:lang w:val="fr-BE"/>
              </w:rPr>
              <w:t xml:space="preserve"> </w:t>
            </w:r>
            <w:r w:rsidR="006513B1" w:rsidRPr="006C0A2C">
              <w:rPr>
                <w:rFonts w:ascii="Verdana" w:hAnsi="Verdana"/>
                <w:sz w:val="20"/>
                <w:lang w:val="fr-FR"/>
              </w:rPr>
              <w:t>Dangerous substances Directive</w:t>
            </w:r>
          </w:p>
          <w:p w14:paraId="39B96A2C" w14:textId="77777777" w:rsidR="006513B1" w:rsidRPr="0048058C" w:rsidRDefault="006513B1" w:rsidP="006513B1">
            <w:pPr>
              <w:pStyle w:val="BodyText"/>
              <w:spacing w:before="120" w:after="0"/>
              <w:ind w:left="317"/>
              <w:jc w:val="left"/>
              <w:rPr>
                <w:rFonts w:ascii="Verdana" w:hAnsi="Verdana"/>
                <w:sz w:val="20"/>
                <w:lang w:val="fr-BE"/>
              </w:rPr>
            </w:pPr>
            <w:r>
              <w:rPr>
                <w:rFonts w:ascii="Verdana" w:hAnsi="Verdana"/>
                <w:sz w:val="20"/>
                <w:lang w:val="fr-FR"/>
              </w:rPr>
              <w:t xml:space="preserve"> Directive</w:t>
            </w:r>
            <w:r w:rsidRPr="006C0A2C">
              <w:rPr>
                <w:rFonts w:ascii="Verdana" w:hAnsi="Verdana"/>
                <w:sz w:val="20"/>
                <w:lang w:val="fr-FR"/>
              </w:rPr>
              <w:t xml:space="preserve"> 67/548/EEC (NONS)</w:t>
            </w:r>
          </w:p>
        </w:tc>
      </w:tr>
      <w:tr w:rsidR="006513B1" w:rsidRPr="00037AE8" w14:paraId="39B96A32" w14:textId="77777777" w:rsidTr="00373766">
        <w:trPr>
          <w:cantSplit/>
          <w:trHeight w:val="646"/>
        </w:trPr>
        <w:tc>
          <w:tcPr>
            <w:tcW w:w="1555" w:type="dxa"/>
            <w:gridSpan w:val="2"/>
            <w:vMerge/>
            <w:textDirection w:val="btLr"/>
            <w:vAlign w:val="center"/>
          </w:tcPr>
          <w:p w14:paraId="39B96A2E" w14:textId="77777777" w:rsidR="006513B1" w:rsidRPr="0048058C" w:rsidRDefault="006513B1" w:rsidP="00DC49AE">
            <w:pPr>
              <w:pStyle w:val="BodyText"/>
              <w:spacing w:before="120" w:after="0"/>
              <w:ind w:left="113" w:right="113"/>
              <w:jc w:val="center"/>
              <w:rPr>
                <w:rFonts w:ascii="Verdana" w:hAnsi="Verdana"/>
                <w:sz w:val="20"/>
                <w:lang w:val="fr-BE"/>
              </w:rPr>
            </w:pPr>
          </w:p>
        </w:tc>
        <w:tc>
          <w:tcPr>
            <w:tcW w:w="963" w:type="dxa"/>
            <w:tcBorders>
              <w:right w:val="nil"/>
            </w:tcBorders>
            <w:textDirection w:val="btLr"/>
            <w:vAlign w:val="center"/>
          </w:tcPr>
          <w:p w14:paraId="39B96A2F" w14:textId="77777777" w:rsidR="006513B1" w:rsidRPr="0048058C" w:rsidRDefault="006513B1" w:rsidP="00DC49AE">
            <w:pPr>
              <w:pStyle w:val="BodyText"/>
              <w:spacing w:before="120" w:after="0"/>
              <w:ind w:left="113" w:right="113"/>
              <w:jc w:val="center"/>
              <w:rPr>
                <w:rFonts w:ascii="Verdana" w:hAnsi="Verdana"/>
                <w:sz w:val="20"/>
                <w:lang w:val="fr-BE"/>
              </w:rPr>
            </w:pPr>
          </w:p>
        </w:tc>
        <w:tc>
          <w:tcPr>
            <w:tcW w:w="5812" w:type="dxa"/>
            <w:tcBorders>
              <w:left w:val="nil"/>
            </w:tcBorders>
            <w:vAlign w:val="center"/>
          </w:tcPr>
          <w:p w14:paraId="39B96A30" w14:textId="2653B7BC" w:rsidR="006513B1" w:rsidRDefault="0066361A" w:rsidP="000E324D">
            <w:pPr>
              <w:pStyle w:val="BodyText"/>
              <w:spacing w:before="120" w:after="0"/>
              <w:ind w:left="317" w:hanging="317"/>
              <w:jc w:val="left"/>
              <w:rPr>
                <w:rFonts w:ascii="Verdana" w:hAnsi="Verdana"/>
                <w:sz w:val="20"/>
              </w:rPr>
            </w:pPr>
            <w:sdt>
              <w:sdtPr>
                <w:rPr>
                  <w:rFonts w:ascii="Verdana" w:hAnsi="Verdana"/>
                  <w:szCs w:val="24"/>
                </w:rPr>
                <w:id w:val="983901159"/>
                <w14:checkbox>
                  <w14:checked w14:val="1"/>
                  <w14:checkedState w14:val="2612" w14:font="MS Gothic"/>
                  <w14:uncheckedState w14:val="2610" w14:font="MS Gothic"/>
                </w14:checkbox>
              </w:sdtPr>
              <w:sdtContent>
                <w:r w:rsidR="00496C64">
                  <w:rPr>
                    <w:rFonts w:ascii="MS Gothic" w:eastAsia="MS Gothic" w:hAnsi="MS Gothic" w:hint="eastAsia"/>
                    <w:szCs w:val="24"/>
                  </w:rPr>
                  <w:t>☒</w:t>
                </w:r>
              </w:sdtContent>
            </w:sdt>
            <w:r w:rsidR="006513B1" w:rsidRPr="00404EE1">
              <w:rPr>
                <w:rFonts w:ascii="Verdana" w:hAnsi="Verdana"/>
                <w:sz w:val="20"/>
              </w:rPr>
              <w:t xml:space="preserve"> Existing Substances Regulation</w:t>
            </w:r>
          </w:p>
          <w:p w14:paraId="39B96A31" w14:textId="77777777" w:rsidR="006513B1" w:rsidRPr="00404EE1" w:rsidRDefault="006513B1" w:rsidP="006513B1">
            <w:pPr>
              <w:pStyle w:val="BodyText"/>
              <w:spacing w:before="120" w:after="0"/>
              <w:ind w:left="317"/>
              <w:jc w:val="left"/>
              <w:rPr>
                <w:rFonts w:ascii="Verdana" w:hAnsi="Verdana"/>
                <w:sz w:val="20"/>
              </w:rPr>
            </w:pPr>
            <w:r>
              <w:rPr>
                <w:rFonts w:ascii="Verdana" w:hAnsi="Verdana"/>
                <w:sz w:val="20"/>
              </w:rPr>
              <w:t xml:space="preserve"> Regulation</w:t>
            </w:r>
            <w:r w:rsidRPr="00404EE1">
              <w:rPr>
                <w:rFonts w:ascii="Verdana" w:hAnsi="Verdana"/>
                <w:sz w:val="20"/>
              </w:rPr>
              <w:t xml:space="preserve"> 793/93/EEC</w:t>
            </w:r>
            <w:r>
              <w:rPr>
                <w:rFonts w:ascii="Verdana" w:hAnsi="Verdana"/>
                <w:sz w:val="20"/>
              </w:rPr>
              <w:t xml:space="preserve"> (RAR/RRS)   </w:t>
            </w:r>
          </w:p>
        </w:tc>
      </w:tr>
      <w:tr w:rsidR="00C00884" w:rsidRPr="00037AE8" w14:paraId="39B96A36" w14:textId="77777777" w:rsidTr="00373766">
        <w:trPr>
          <w:cantSplit/>
          <w:trHeight w:val="1000"/>
        </w:trPr>
        <w:tc>
          <w:tcPr>
            <w:tcW w:w="1555" w:type="dxa"/>
            <w:gridSpan w:val="2"/>
            <w:vMerge w:val="restart"/>
            <w:textDirection w:val="btLr"/>
            <w:vAlign w:val="center"/>
          </w:tcPr>
          <w:p w14:paraId="39B96A33" w14:textId="77777777" w:rsidR="00C00884" w:rsidRPr="00C220E5" w:rsidRDefault="00C00884" w:rsidP="00DC49AE">
            <w:pPr>
              <w:pStyle w:val="BodyText"/>
              <w:spacing w:before="120" w:after="0"/>
              <w:ind w:left="113" w:right="113"/>
              <w:jc w:val="center"/>
              <w:rPr>
                <w:rFonts w:ascii="Verdana" w:hAnsi="Verdana"/>
                <w:sz w:val="20"/>
              </w:rPr>
            </w:pPr>
            <w:r w:rsidRPr="00C220E5">
              <w:rPr>
                <w:rFonts w:ascii="Verdana" w:hAnsi="Verdana"/>
                <w:sz w:val="20"/>
              </w:rPr>
              <w:t>(UNEP) Stockholm convention (POPs Protocol)</w:t>
            </w:r>
          </w:p>
        </w:tc>
        <w:tc>
          <w:tcPr>
            <w:tcW w:w="963" w:type="dxa"/>
            <w:tcBorders>
              <w:right w:val="nil"/>
            </w:tcBorders>
            <w:textDirection w:val="btLr"/>
            <w:vAlign w:val="center"/>
          </w:tcPr>
          <w:p w14:paraId="39B96A34" w14:textId="77777777" w:rsidR="00C00884" w:rsidRPr="00C220E5" w:rsidRDefault="00C00884" w:rsidP="00DC49AE">
            <w:pPr>
              <w:pStyle w:val="BodyText"/>
              <w:spacing w:before="120" w:after="0"/>
              <w:ind w:left="113" w:right="113"/>
              <w:jc w:val="center"/>
              <w:rPr>
                <w:rFonts w:ascii="Verdana" w:hAnsi="Verdana"/>
                <w:sz w:val="20"/>
              </w:rPr>
            </w:pPr>
          </w:p>
        </w:tc>
        <w:tc>
          <w:tcPr>
            <w:tcW w:w="5812" w:type="dxa"/>
            <w:tcBorders>
              <w:left w:val="nil"/>
            </w:tcBorders>
            <w:vAlign w:val="center"/>
          </w:tcPr>
          <w:p w14:paraId="39B96A35" w14:textId="77777777" w:rsidR="00C00884" w:rsidRPr="00404EE1" w:rsidRDefault="0066361A" w:rsidP="00DC49AE">
            <w:pPr>
              <w:pStyle w:val="BodyText"/>
              <w:spacing w:before="120" w:after="0"/>
              <w:rPr>
                <w:rFonts w:ascii="Verdana" w:hAnsi="Verdana"/>
                <w:sz w:val="20"/>
              </w:rPr>
            </w:pPr>
            <w:sdt>
              <w:sdtPr>
                <w:rPr>
                  <w:rFonts w:ascii="Verdana" w:hAnsi="Verdana"/>
                  <w:szCs w:val="24"/>
                </w:rPr>
                <w:id w:val="1125200805"/>
                <w14:checkbox>
                  <w14:checked w14:val="0"/>
                  <w14:checkedState w14:val="2612" w14:font="MS Gothic"/>
                  <w14:uncheckedState w14:val="2610" w14:font="MS Gothic"/>
                </w14:checkbox>
              </w:sdtPr>
              <w:sdtContent>
                <w:r w:rsidR="005C7C49" w:rsidRPr="005C7C49">
                  <w:rPr>
                    <w:rFonts w:ascii="MS Gothic" w:eastAsia="MS Gothic" w:hAnsi="MS Gothic" w:cs="MS Gothic" w:hint="eastAsia"/>
                    <w:szCs w:val="24"/>
                  </w:rPr>
                  <w:t>☐</w:t>
                </w:r>
              </w:sdtContent>
            </w:sdt>
            <w:r w:rsidR="00C00884" w:rsidRPr="00404EE1">
              <w:rPr>
                <w:rFonts w:ascii="Verdana" w:hAnsi="Verdana"/>
                <w:sz w:val="20"/>
              </w:rPr>
              <w:t xml:space="preserve"> </w:t>
            </w:r>
            <w:r w:rsidR="00C00884">
              <w:rPr>
                <w:rFonts w:ascii="Verdana" w:hAnsi="Verdana"/>
                <w:sz w:val="20"/>
              </w:rPr>
              <w:t xml:space="preserve">Assessment   </w:t>
            </w:r>
          </w:p>
        </w:tc>
      </w:tr>
      <w:tr w:rsidR="00C00884" w:rsidRPr="00037AE8" w14:paraId="39B96A3A" w14:textId="77777777" w:rsidTr="00373766">
        <w:trPr>
          <w:cantSplit/>
          <w:trHeight w:val="692"/>
        </w:trPr>
        <w:tc>
          <w:tcPr>
            <w:tcW w:w="1555" w:type="dxa"/>
            <w:gridSpan w:val="2"/>
            <w:vMerge/>
            <w:textDirection w:val="btLr"/>
            <w:vAlign w:val="center"/>
          </w:tcPr>
          <w:p w14:paraId="39B96A37" w14:textId="77777777" w:rsidR="00C00884" w:rsidRPr="0048058C" w:rsidRDefault="00C00884" w:rsidP="00DC49AE">
            <w:pPr>
              <w:pStyle w:val="BodyText"/>
              <w:spacing w:before="120" w:after="0"/>
              <w:ind w:left="113" w:right="113"/>
              <w:jc w:val="center"/>
              <w:rPr>
                <w:rFonts w:ascii="Verdana" w:hAnsi="Verdana"/>
                <w:sz w:val="20"/>
              </w:rPr>
            </w:pPr>
          </w:p>
        </w:tc>
        <w:tc>
          <w:tcPr>
            <w:tcW w:w="963" w:type="dxa"/>
            <w:tcBorders>
              <w:right w:val="nil"/>
            </w:tcBorders>
            <w:textDirection w:val="btLr"/>
            <w:vAlign w:val="center"/>
          </w:tcPr>
          <w:p w14:paraId="39B96A38" w14:textId="77777777" w:rsidR="00C00884" w:rsidRPr="0048058C" w:rsidRDefault="00C00884" w:rsidP="00DC49AE">
            <w:pPr>
              <w:pStyle w:val="BodyText"/>
              <w:spacing w:before="120" w:after="120"/>
              <w:ind w:left="113" w:right="113"/>
              <w:jc w:val="center"/>
              <w:rPr>
                <w:rFonts w:ascii="Verdana" w:hAnsi="Verdana"/>
                <w:sz w:val="20"/>
              </w:rPr>
            </w:pPr>
          </w:p>
        </w:tc>
        <w:tc>
          <w:tcPr>
            <w:tcW w:w="5812" w:type="dxa"/>
            <w:tcBorders>
              <w:left w:val="nil"/>
            </w:tcBorders>
            <w:vAlign w:val="center"/>
          </w:tcPr>
          <w:p w14:paraId="39B96A39" w14:textId="77777777" w:rsidR="00C00884" w:rsidRPr="00404EE1" w:rsidRDefault="0066361A" w:rsidP="00DC49AE">
            <w:pPr>
              <w:pStyle w:val="BodyText"/>
              <w:spacing w:before="120" w:after="120"/>
              <w:rPr>
                <w:rFonts w:ascii="Verdana" w:hAnsi="Verdana"/>
                <w:sz w:val="20"/>
              </w:rPr>
            </w:pPr>
            <w:sdt>
              <w:sdtPr>
                <w:rPr>
                  <w:rFonts w:ascii="Verdana" w:hAnsi="Verdana"/>
                  <w:szCs w:val="24"/>
                </w:rPr>
                <w:id w:val="689656449"/>
                <w14:checkbox>
                  <w14:checked w14:val="0"/>
                  <w14:checkedState w14:val="2612" w14:font="MS Gothic"/>
                  <w14:uncheckedState w14:val="2610" w14:font="MS Gothic"/>
                </w14:checkbox>
              </w:sdtPr>
              <w:sdtContent>
                <w:r w:rsidR="005C7C49">
                  <w:rPr>
                    <w:rFonts w:ascii="MS Gothic" w:eastAsia="MS Gothic" w:hAnsi="MS Gothic" w:hint="eastAsia"/>
                    <w:szCs w:val="24"/>
                  </w:rPr>
                  <w:t>☐</w:t>
                </w:r>
              </w:sdtContent>
            </w:sdt>
            <w:r w:rsidR="00C00884" w:rsidRPr="00404EE1">
              <w:rPr>
                <w:rFonts w:ascii="Verdana" w:hAnsi="Verdana"/>
                <w:sz w:val="20"/>
              </w:rPr>
              <w:t xml:space="preserve"> </w:t>
            </w:r>
            <w:r w:rsidR="00C00884">
              <w:rPr>
                <w:rFonts w:ascii="Verdana" w:hAnsi="Verdana"/>
                <w:sz w:val="20"/>
              </w:rPr>
              <w:t xml:space="preserve">In relevant Annex </w:t>
            </w:r>
          </w:p>
        </w:tc>
      </w:tr>
      <w:tr w:rsidR="00C00884" w:rsidRPr="00037AE8" w14:paraId="39B96A3E" w14:textId="77777777" w:rsidTr="00373766">
        <w:trPr>
          <w:cantSplit/>
          <w:trHeight w:val="1431"/>
        </w:trPr>
        <w:tc>
          <w:tcPr>
            <w:tcW w:w="1555" w:type="dxa"/>
            <w:gridSpan w:val="2"/>
            <w:textDirection w:val="btLr"/>
            <w:vAlign w:val="center"/>
          </w:tcPr>
          <w:p w14:paraId="39B96A3B" w14:textId="77777777" w:rsidR="00C00884" w:rsidRPr="0048058C" w:rsidRDefault="00C00884" w:rsidP="00DC49AE">
            <w:pPr>
              <w:pStyle w:val="BodyText"/>
              <w:spacing w:before="120" w:after="0"/>
              <w:ind w:left="113" w:right="113"/>
              <w:jc w:val="center"/>
              <w:rPr>
                <w:rFonts w:ascii="Verdana" w:hAnsi="Verdana"/>
                <w:sz w:val="20"/>
              </w:rPr>
            </w:pPr>
            <w:r>
              <w:rPr>
                <w:rFonts w:ascii="Verdana" w:hAnsi="Verdana"/>
                <w:sz w:val="20"/>
              </w:rPr>
              <w:t>Other processes/ EU legislation</w:t>
            </w:r>
          </w:p>
        </w:tc>
        <w:tc>
          <w:tcPr>
            <w:tcW w:w="963" w:type="dxa"/>
            <w:tcBorders>
              <w:right w:val="nil"/>
            </w:tcBorders>
            <w:textDirection w:val="btLr"/>
            <w:vAlign w:val="center"/>
          </w:tcPr>
          <w:p w14:paraId="39B96A3C" w14:textId="77777777" w:rsidR="00C00884" w:rsidRPr="0048058C" w:rsidRDefault="00C00884" w:rsidP="00DC49AE">
            <w:pPr>
              <w:pStyle w:val="BodyText"/>
              <w:spacing w:before="120" w:after="120"/>
              <w:ind w:left="113" w:right="113"/>
              <w:jc w:val="center"/>
              <w:rPr>
                <w:rFonts w:ascii="Verdana" w:hAnsi="Verdana"/>
                <w:sz w:val="20"/>
              </w:rPr>
            </w:pPr>
          </w:p>
        </w:tc>
        <w:tc>
          <w:tcPr>
            <w:tcW w:w="5812" w:type="dxa"/>
            <w:tcBorders>
              <w:left w:val="nil"/>
            </w:tcBorders>
            <w:vAlign w:val="center"/>
          </w:tcPr>
          <w:p w14:paraId="5EB3C4E2" w14:textId="77777777" w:rsidR="00C00884" w:rsidRDefault="0066361A" w:rsidP="00DC49AE">
            <w:pPr>
              <w:pStyle w:val="BodyText"/>
              <w:spacing w:before="120" w:after="120"/>
              <w:rPr>
                <w:rFonts w:ascii="Verdana" w:hAnsi="Verdana"/>
                <w:sz w:val="20"/>
              </w:rPr>
            </w:pPr>
            <w:sdt>
              <w:sdtPr>
                <w:rPr>
                  <w:rFonts w:ascii="Verdana" w:hAnsi="Verdana"/>
                  <w:szCs w:val="24"/>
                </w:rPr>
                <w:id w:val="-1936583114"/>
                <w14:checkbox>
                  <w14:checked w14:val="1"/>
                  <w14:checkedState w14:val="2612" w14:font="MS Gothic"/>
                  <w14:uncheckedState w14:val="2610" w14:font="MS Gothic"/>
                </w14:checkbox>
              </w:sdtPr>
              <w:sdtContent>
                <w:r w:rsidR="00654C52">
                  <w:rPr>
                    <w:rFonts w:ascii="MS Gothic" w:eastAsia="MS Gothic" w:hAnsi="MS Gothic" w:hint="eastAsia"/>
                    <w:szCs w:val="24"/>
                  </w:rPr>
                  <w:t>☒</w:t>
                </w:r>
              </w:sdtContent>
            </w:sdt>
            <w:r w:rsidR="00C00884" w:rsidRPr="00404EE1">
              <w:rPr>
                <w:rFonts w:ascii="Verdana" w:hAnsi="Verdana"/>
                <w:sz w:val="20"/>
              </w:rPr>
              <w:t xml:space="preserve"> </w:t>
            </w:r>
            <w:r w:rsidR="00C00884" w:rsidRPr="001D1FDB">
              <w:rPr>
                <w:rFonts w:ascii="Verdana" w:hAnsi="Verdana"/>
                <w:sz w:val="20"/>
              </w:rPr>
              <w:t>Other</w:t>
            </w:r>
            <w:r w:rsidR="00C00884">
              <w:rPr>
                <w:rFonts w:ascii="Verdana" w:hAnsi="Verdana"/>
                <w:sz w:val="20"/>
              </w:rPr>
              <w:t xml:space="preserve"> </w:t>
            </w:r>
            <w:r w:rsidR="00C00884" w:rsidRPr="001D1FDB">
              <w:rPr>
                <w:rFonts w:ascii="Verdana" w:hAnsi="Verdana"/>
                <w:sz w:val="20"/>
              </w:rPr>
              <w:t>(provide further details below)</w:t>
            </w:r>
          </w:p>
          <w:p w14:paraId="39B96A3D" w14:textId="1DBD7C56" w:rsidR="00654C52" w:rsidRPr="00404EE1" w:rsidRDefault="00654C52" w:rsidP="00654C52">
            <w:pPr>
              <w:pStyle w:val="BodyText"/>
              <w:spacing w:before="120" w:after="120"/>
              <w:rPr>
                <w:rFonts w:ascii="Verdana" w:hAnsi="Verdana"/>
                <w:sz w:val="20"/>
              </w:rPr>
            </w:pPr>
            <w:r>
              <w:rPr>
                <w:rFonts w:ascii="Verdana" w:hAnsi="Verdana"/>
                <w:sz w:val="20"/>
              </w:rPr>
              <w:t xml:space="preserve">Annex II </w:t>
            </w:r>
            <w:r w:rsidR="00AF3CB0">
              <w:rPr>
                <w:rFonts w:ascii="Verdana" w:hAnsi="Verdana"/>
                <w:sz w:val="20"/>
              </w:rPr>
              <w:t>dossier</w:t>
            </w:r>
            <w:r>
              <w:rPr>
                <w:rFonts w:ascii="Verdana" w:hAnsi="Verdana"/>
                <w:sz w:val="20"/>
              </w:rPr>
              <w:t xml:space="preserve"> submitted by Sweden under the </w:t>
            </w:r>
            <w:r w:rsidRPr="001B0749">
              <w:rPr>
                <w:rFonts w:ascii="Verdana" w:hAnsi="Verdana"/>
                <w:sz w:val="20"/>
              </w:rPr>
              <w:t>RoHS Directive (2011/65/EU)</w:t>
            </w:r>
          </w:p>
        </w:tc>
      </w:tr>
    </w:tbl>
    <w:p w14:paraId="39B96A3F" w14:textId="77777777" w:rsidR="00E32751" w:rsidRPr="003266B3" w:rsidRDefault="00E32751" w:rsidP="00E32751">
      <w:pPr>
        <w:pStyle w:val="BodyText"/>
        <w:rPr>
          <w:lang w:val="en-US"/>
        </w:rPr>
      </w:pPr>
    </w:p>
    <w:p w14:paraId="7AFD9D1D" w14:textId="07B5098E" w:rsidR="003129D9" w:rsidRDefault="00373766" w:rsidP="00622924">
      <w:pPr>
        <w:pStyle w:val="BodyText"/>
        <w:spacing w:after="240"/>
        <w:rPr>
          <w:rFonts w:ascii="Verdana" w:hAnsi="Verdana"/>
          <w:sz w:val="20"/>
        </w:rPr>
      </w:pPr>
      <w:r w:rsidRPr="00373766">
        <w:rPr>
          <w:rFonts w:ascii="Verdana" w:hAnsi="Verdana"/>
          <w:sz w:val="20"/>
        </w:rPr>
        <w:t xml:space="preserve">The United Kingdom Competent Authority (UK CA) was the rapporteur for </w:t>
      </w:r>
      <w:r w:rsidR="000578F2">
        <w:rPr>
          <w:rFonts w:ascii="Verdana" w:hAnsi="Verdana"/>
          <w:sz w:val="20"/>
        </w:rPr>
        <w:t>MCCPs</w:t>
      </w:r>
      <w:r w:rsidRPr="00373766">
        <w:rPr>
          <w:rFonts w:ascii="Verdana" w:hAnsi="Verdana"/>
          <w:sz w:val="20"/>
        </w:rPr>
        <w:t xml:space="preserve"> under the Existing Substances Regulation</w:t>
      </w:r>
      <w:r>
        <w:rPr>
          <w:rFonts w:ascii="Verdana" w:hAnsi="Verdana"/>
          <w:sz w:val="20"/>
        </w:rPr>
        <w:t xml:space="preserve"> </w:t>
      </w:r>
      <w:r w:rsidRPr="00063E1E">
        <w:rPr>
          <w:rFonts w:ascii="Verdana" w:hAnsi="Verdana"/>
          <w:sz w:val="20"/>
        </w:rPr>
        <w:t>(EC) No. 793/93</w:t>
      </w:r>
      <w:r w:rsidRPr="00373766">
        <w:rPr>
          <w:rFonts w:ascii="Verdana" w:hAnsi="Verdana"/>
          <w:sz w:val="20"/>
        </w:rPr>
        <w:t xml:space="preserve"> (ESR), producing two environmental risk assessments (EC, 2005; EC, 2007), and a transitional Annex XV dossier once the REACH Regulation was introduced (HSE, 2008). The Annex XV dossier included an analysis of risk management options for scenarios that had been identified as posing an environmental risk in the earlier assessments. In particular, a restriction on the marketing and use of </w:t>
      </w:r>
      <w:r w:rsidR="000578F2">
        <w:rPr>
          <w:rFonts w:ascii="Verdana" w:hAnsi="Verdana"/>
          <w:sz w:val="20"/>
        </w:rPr>
        <w:t>MCCPs</w:t>
      </w:r>
      <w:r w:rsidRPr="00373766">
        <w:rPr>
          <w:rFonts w:ascii="Verdana" w:hAnsi="Verdana"/>
          <w:sz w:val="20"/>
        </w:rPr>
        <w:t xml:space="preserve"> in leather fat liquors was agreed at the 15</w:t>
      </w:r>
      <w:r w:rsidRPr="00373766">
        <w:rPr>
          <w:rFonts w:ascii="Verdana" w:hAnsi="Verdana"/>
          <w:sz w:val="20"/>
          <w:vertAlign w:val="superscript"/>
        </w:rPr>
        <w:t>th</w:t>
      </w:r>
      <w:r w:rsidRPr="00373766">
        <w:rPr>
          <w:rFonts w:ascii="Verdana" w:hAnsi="Verdana"/>
          <w:sz w:val="20"/>
        </w:rPr>
        <w:t xml:space="preserve"> Risk Reduction Strategy meeting, and this was communicated to ECHA in th</w:t>
      </w:r>
      <w:r w:rsidR="006467E4">
        <w:rPr>
          <w:rFonts w:ascii="Verdana" w:hAnsi="Verdana"/>
          <w:sz w:val="20"/>
        </w:rPr>
        <w:t>e</w:t>
      </w:r>
      <w:r w:rsidRPr="00373766">
        <w:rPr>
          <w:rFonts w:ascii="Verdana" w:hAnsi="Verdana"/>
          <w:sz w:val="20"/>
        </w:rPr>
        <w:t xml:space="preserve"> dossier. Subsequently, further data were provided by Industry in compliance with Commission Regulation (EC) No. 466/2008, and these were evaluated and reported to ECHA by the UK CA (EA, 2010). That evaluation identified further data needs but, as Industry was performing additional biodegradation studies and the REACH registration deadline was imminent, it was decided to leave it to Registrants to take the conclusions of the various UK CA reports into account and propose further testing or risk management measures as necessary.</w:t>
      </w:r>
      <w:r w:rsidRPr="00DC0A78">
        <w:t xml:space="preserve"> </w:t>
      </w:r>
    </w:p>
    <w:p w14:paraId="561B9B80" w14:textId="557F3B36" w:rsidR="00283F77" w:rsidRDefault="000578F2" w:rsidP="00496C64">
      <w:pPr>
        <w:pStyle w:val="BodyText"/>
        <w:spacing w:after="240"/>
        <w:rPr>
          <w:rFonts w:ascii="Verdana" w:hAnsi="Verdana"/>
          <w:sz w:val="20"/>
        </w:rPr>
      </w:pPr>
      <w:r>
        <w:rPr>
          <w:rFonts w:ascii="Verdana" w:hAnsi="Verdana"/>
          <w:sz w:val="20"/>
        </w:rPr>
        <w:t>MCCPs</w:t>
      </w:r>
      <w:r w:rsidR="00822543">
        <w:rPr>
          <w:rFonts w:ascii="Verdana" w:hAnsi="Verdana"/>
          <w:sz w:val="20"/>
        </w:rPr>
        <w:t xml:space="preserve"> was subsequently included </w:t>
      </w:r>
      <w:r w:rsidR="006467E4">
        <w:rPr>
          <w:rFonts w:ascii="Verdana" w:hAnsi="Verdana"/>
          <w:sz w:val="20"/>
        </w:rPr>
        <w:t>i</w:t>
      </w:r>
      <w:r w:rsidR="00822543">
        <w:rPr>
          <w:rFonts w:ascii="Verdana" w:hAnsi="Verdana"/>
          <w:sz w:val="20"/>
        </w:rPr>
        <w:t xml:space="preserve">n the first Community Rolling Action Plan under the REACH Regulation, so that the Registrants’ treatment of the previous conclusions could be assessed. </w:t>
      </w:r>
      <w:r w:rsidR="004562F0">
        <w:rPr>
          <w:rFonts w:ascii="Verdana" w:hAnsi="Verdana"/>
          <w:sz w:val="20"/>
        </w:rPr>
        <w:t>The UK</w:t>
      </w:r>
      <w:r w:rsidR="00822543">
        <w:rPr>
          <w:rFonts w:ascii="Verdana" w:hAnsi="Verdana"/>
          <w:sz w:val="20"/>
        </w:rPr>
        <w:t xml:space="preserve"> CA</w:t>
      </w:r>
      <w:r w:rsidR="004562F0">
        <w:rPr>
          <w:rFonts w:ascii="Verdana" w:hAnsi="Verdana"/>
          <w:sz w:val="20"/>
        </w:rPr>
        <w:t xml:space="preserve"> has now completed </w:t>
      </w:r>
      <w:r w:rsidR="00822543">
        <w:rPr>
          <w:rFonts w:ascii="Verdana" w:hAnsi="Verdana"/>
          <w:sz w:val="20"/>
        </w:rPr>
        <w:t>its</w:t>
      </w:r>
      <w:r w:rsidR="004562F0">
        <w:rPr>
          <w:rFonts w:ascii="Verdana" w:hAnsi="Verdana"/>
          <w:sz w:val="20"/>
        </w:rPr>
        <w:t xml:space="preserve"> </w:t>
      </w:r>
      <w:r w:rsidR="00822543">
        <w:rPr>
          <w:rFonts w:ascii="Verdana" w:hAnsi="Verdana"/>
          <w:sz w:val="20"/>
        </w:rPr>
        <w:t>S</w:t>
      </w:r>
      <w:r w:rsidR="004562F0">
        <w:rPr>
          <w:rFonts w:ascii="Verdana" w:hAnsi="Verdana"/>
          <w:sz w:val="20"/>
        </w:rPr>
        <w:t xml:space="preserve">ubstance </w:t>
      </w:r>
      <w:r w:rsidR="00822543">
        <w:rPr>
          <w:rFonts w:ascii="Verdana" w:hAnsi="Verdana"/>
          <w:sz w:val="20"/>
        </w:rPr>
        <w:t>Evaluation</w:t>
      </w:r>
      <w:r w:rsidR="003129D9">
        <w:rPr>
          <w:rFonts w:ascii="Verdana" w:hAnsi="Verdana"/>
          <w:sz w:val="20"/>
        </w:rPr>
        <w:t xml:space="preserve">, </w:t>
      </w:r>
      <w:r w:rsidR="004562F0">
        <w:rPr>
          <w:rFonts w:ascii="Verdana" w:hAnsi="Verdana"/>
          <w:sz w:val="20"/>
        </w:rPr>
        <w:t xml:space="preserve">and </w:t>
      </w:r>
      <w:r w:rsidR="006467E4">
        <w:rPr>
          <w:rFonts w:ascii="Verdana" w:hAnsi="Verdana"/>
          <w:sz w:val="20"/>
        </w:rPr>
        <w:t xml:space="preserve">has </w:t>
      </w:r>
      <w:r w:rsidR="00822543">
        <w:rPr>
          <w:rFonts w:ascii="Verdana" w:hAnsi="Verdana"/>
          <w:sz w:val="20"/>
        </w:rPr>
        <w:t>conclude</w:t>
      </w:r>
      <w:r w:rsidR="006467E4">
        <w:rPr>
          <w:rFonts w:ascii="Verdana" w:hAnsi="Verdana"/>
          <w:sz w:val="20"/>
        </w:rPr>
        <w:t>d</w:t>
      </w:r>
      <w:r w:rsidR="00822543">
        <w:rPr>
          <w:rFonts w:ascii="Verdana" w:hAnsi="Verdana"/>
          <w:sz w:val="20"/>
        </w:rPr>
        <w:t xml:space="preserve"> that </w:t>
      </w:r>
      <w:r>
        <w:rPr>
          <w:rFonts w:ascii="Verdana" w:hAnsi="Verdana"/>
          <w:sz w:val="20"/>
        </w:rPr>
        <w:t>MCCPs</w:t>
      </w:r>
      <w:r w:rsidR="00607BBD">
        <w:rPr>
          <w:rFonts w:ascii="Verdana" w:hAnsi="Verdana"/>
          <w:sz w:val="20"/>
        </w:rPr>
        <w:t xml:space="preserve"> </w:t>
      </w:r>
      <w:r w:rsidR="00822543">
        <w:rPr>
          <w:rFonts w:ascii="Verdana" w:hAnsi="Verdana"/>
          <w:sz w:val="20"/>
        </w:rPr>
        <w:t>h</w:t>
      </w:r>
      <w:r w:rsidR="004562F0">
        <w:rPr>
          <w:rFonts w:ascii="Verdana" w:hAnsi="Verdana"/>
          <w:sz w:val="20"/>
        </w:rPr>
        <w:t xml:space="preserve">as PBT </w:t>
      </w:r>
      <w:r w:rsidR="00822543">
        <w:rPr>
          <w:rFonts w:ascii="Verdana" w:hAnsi="Verdana"/>
          <w:sz w:val="20"/>
        </w:rPr>
        <w:t>(</w:t>
      </w:r>
      <w:r w:rsidR="004562F0">
        <w:rPr>
          <w:rFonts w:ascii="Verdana" w:hAnsi="Verdana"/>
          <w:sz w:val="20"/>
        </w:rPr>
        <w:t xml:space="preserve">and </w:t>
      </w:r>
      <w:r w:rsidR="00822543">
        <w:rPr>
          <w:rFonts w:ascii="Verdana" w:hAnsi="Verdana"/>
          <w:sz w:val="20"/>
        </w:rPr>
        <w:t xml:space="preserve">probably </w:t>
      </w:r>
      <w:r w:rsidR="004562F0">
        <w:rPr>
          <w:rFonts w:ascii="Verdana" w:hAnsi="Verdana"/>
          <w:sz w:val="20"/>
        </w:rPr>
        <w:t>vPvB</w:t>
      </w:r>
      <w:r w:rsidR="00822543">
        <w:rPr>
          <w:rFonts w:ascii="Verdana" w:hAnsi="Verdana"/>
          <w:sz w:val="20"/>
        </w:rPr>
        <w:t>) properties</w:t>
      </w:r>
      <w:r w:rsidR="004562F0" w:rsidRPr="00516E87">
        <w:rPr>
          <w:rFonts w:ascii="Verdana" w:hAnsi="Verdana"/>
          <w:sz w:val="20"/>
        </w:rPr>
        <w:t>.</w:t>
      </w:r>
      <w:r w:rsidR="00283F77" w:rsidRPr="00516E87">
        <w:rPr>
          <w:rFonts w:ascii="Verdana" w:hAnsi="Verdana"/>
          <w:sz w:val="20"/>
        </w:rPr>
        <w:t xml:space="preserve"> REACH calls for minimisation of emissions and exposures of </w:t>
      </w:r>
      <w:r w:rsidR="00516E87" w:rsidRPr="00516E87">
        <w:rPr>
          <w:rFonts w:ascii="Verdana" w:hAnsi="Verdana"/>
          <w:sz w:val="20"/>
        </w:rPr>
        <w:t xml:space="preserve">PBT </w:t>
      </w:r>
      <w:r w:rsidR="00283F77" w:rsidRPr="00516E87">
        <w:rPr>
          <w:rFonts w:ascii="Verdana" w:hAnsi="Verdana"/>
          <w:sz w:val="20"/>
        </w:rPr>
        <w:t xml:space="preserve">substances as far as technically and practically possible (recital 70). The purpose of this </w:t>
      </w:r>
      <w:r w:rsidR="00822543">
        <w:rPr>
          <w:rFonts w:ascii="Verdana" w:hAnsi="Verdana"/>
          <w:sz w:val="20"/>
        </w:rPr>
        <w:t>Risk Management Options Analysis</w:t>
      </w:r>
      <w:r w:rsidR="00822543" w:rsidRPr="00516E87">
        <w:rPr>
          <w:rFonts w:ascii="Verdana" w:hAnsi="Verdana"/>
          <w:sz w:val="20"/>
        </w:rPr>
        <w:t xml:space="preserve"> </w:t>
      </w:r>
      <w:r w:rsidR="00822543">
        <w:rPr>
          <w:rFonts w:ascii="Verdana" w:hAnsi="Verdana"/>
          <w:sz w:val="20"/>
        </w:rPr>
        <w:t>(</w:t>
      </w:r>
      <w:r w:rsidR="00283F77" w:rsidRPr="00516E87">
        <w:rPr>
          <w:rFonts w:ascii="Verdana" w:hAnsi="Verdana"/>
          <w:sz w:val="20"/>
        </w:rPr>
        <w:t>RMO</w:t>
      </w:r>
      <w:r w:rsidR="00822543">
        <w:rPr>
          <w:rFonts w:ascii="Verdana" w:hAnsi="Verdana"/>
          <w:sz w:val="20"/>
        </w:rPr>
        <w:t>A)</w:t>
      </w:r>
      <w:r w:rsidR="00283F77" w:rsidRPr="00516E87">
        <w:rPr>
          <w:rFonts w:ascii="Verdana" w:hAnsi="Verdana"/>
          <w:sz w:val="20"/>
        </w:rPr>
        <w:t xml:space="preserve"> is</w:t>
      </w:r>
      <w:r w:rsidR="00516E87" w:rsidRPr="00516E87">
        <w:rPr>
          <w:rFonts w:ascii="Verdana" w:hAnsi="Verdana"/>
          <w:sz w:val="20"/>
        </w:rPr>
        <w:t>,</w:t>
      </w:r>
      <w:r w:rsidR="00283F77" w:rsidRPr="00516E87">
        <w:rPr>
          <w:rFonts w:ascii="Verdana" w:hAnsi="Verdana"/>
          <w:sz w:val="20"/>
        </w:rPr>
        <w:t xml:space="preserve"> therefore</w:t>
      </w:r>
      <w:r w:rsidR="00516E87" w:rsidRPr="00516E87">
        <w:rPr>
          <w:rFonts w:ascii="Verdana" w:hAnsi="Verdana"/>
          <w:sz w:val="20"/>
        </w:rPr>
        <w:t>,</w:t>
      </w:r>
      <w:r w:rsidR="00283F77" w:rsidRPr="00516E87">
        <w:rPr>
          <w:rFonts w:ascii="Verdana" w:hAnsi="Verdana"/>
          <w:sz w:val="20"/>
        </w:rPr>
        <w:t xml:space="preserve"> to </w:t>
      </w:r>
      <w:r w:rsidR="00516E87" w:rsidRPr="00516E87">
        <w:rPr>
          <w:rFonts w:ascii="Verdana" w:hAnsi="Verdana"/>
          <w:sz w:val="20"/>
        </w:rPr>
        <w:t xml:space="preserve">review the available </w:t>
      </w:r>
      <w:r w:rsidR="00283F77" w:rsidRPr="00516E87">
        <w:rPr>
          <w:rFonts w:ascii="Verdana" w:hAnsi="Verdana"/>
          <w:sz w:val="20"/>
        </w:rPr>
        <w:t xml:space="preserve">evidence </w:t>
      </w:r>
      <w:r w:rsidR="00516E87" w:rsidRPr="00516E87">
        <w:rPr>
          <w:rFonts w:ascii="Verdana" w:hAnsi="Verdana"/>
          <w:sz w:val="20"/>
        </w:rPr>
        <w:t xml:space="preserve">to determine what </w:t>
      </w:r>
      <w:r w:rsidR="00283F77" w:rsidRPr="00516E87">
        <w:rPr>
          <w:rFonts w:ascii="Verdana" w:hAnsi="Verdana"/>
          <w:sz w:val="20"/>
        </w:rPr>
        <w:t>additional regulatory action</w:t>
      </w:r>
      <w:r w:rsidR="00516E87" w:rsidRPr="00516E87">
        <w:rPr>
          <w:rFonts w:ascii="Verdana" w:hAnsi="Verdana"/>
          <w:sz w:val="20"/>
        </w:rPr>
        <w:t xml:space="preserve">s, if any, are </w:t>
      </w:r>
      <w:r w:rsidR="00283F77" w:rsidRPr="00516E87">
        <w:rPr>
          <w:rFonts w:ascii="Verdana" w:hAnsi="Verdana"/>
          <w:sz w:val="20"/>
        </w:rPr>
        <w:t xml:space="preserve">required to minimise </w:t>
      </w:r>
      <w:r w:rsidR="00516E87" w:rsidRPr="00516E87">
        <w:rPr>
          <w:rFonts w:ascii="Verdana" w:hAnsi="Verdana"/>
          <w:sz w:val="20"/>
        </w:rPr>
        <w:t>releases</w:t>
      </w:r>
      <w:r w:rsidR="00822543">
        <w:rPr>
          <w:rFonts w:ascii="Verdana" w:hAnsi="Verdana"/>
          <w:sz w:val="20"/>
        </w:rPr>
        <w:t xml:space="preserve"> of</w:t>
      </w:r>
      <w:r w:rsidR="00283F77" w:rsidRPr="00516E87">
        <w:rPr>
          <w:rFonts w:ascii="Verdana" w:hAnsi="Verdana"/>
          <w:sz w:val="20"/>
        </w:rPr>
        <w:t xml:space="preserve"> </w:t>
      </w:r>
      <w:r>
        <w:rPr>
          <w:rFonts w:ascii="Verdana" w:hAnsi="Verdana"/>
          <w:sz w:val="20"/>
        </w:rPr>
        <w:t>MCCPs</w:t>
      </w:r>
      <w:r w:rsidR="00822543">
        <w:rPr>
          <w:rFonts w:ascii="Verdana" w:hAnsi="Verdana"/>
          <w:sz w:val="20"/>
        </w:rPr>
        <w:t xml:space="preserve"> </w:t>
      </w:r>
      <w:r w:rsidR="00283F77" w:rsidRPr="00516E87">
        <w:rPr>
          <w:rFonts w:ascii="Verdana" w:hAnsi="Verdana"/>
          <w:sz w:val="20"/>
        </w:rPr>
        <w:t>to the environment and the form that th</w:t>
      </w:r>
      <w:r w:rsidR="00516E87" w:rsidRPr="00516E87">
        <w:rPr>
          <w:rFonts w:ascii="Verdana" w:hAnsi="Verdana"/>
          <w:sz w:val="20"/>
        </w:rPr>
        <w:t>ese</w:t>
      </w:r>
      <w:r w:rsidR="00283F77" w:rsidRPr="00516E87">
        <w:rPr>
          <w:rFonts w:ascii="Verdana" w:hAnsi="Verdana"/>
          <w:sz w:val="20"/>
        </w:rPr>
        <w:t xml:space="preserve"> </w:t>
      </w:r>
      <w:r w:rsidR="00822543">
        <w:rPr>
          <w:rFonts w:ascii="Verdana" w:hAnsi="Verdana"/>
          <w:sz w:val="20"/>
        </w:rPr>
        <w:t xml:space="preserve">measures </w:t>
      </w:r>
      <w:r w:rsidR="00283F77" w:rsidRPr="00516E87">
        <w:rPr>
          <w:rFonts w:ascii="Verdana" w:hAnsi="Verdana"/>
          <w:sz w:val="20"/>
        </w:rPr>
        <w:t>could take. Since the transition dossier did not identify a need for further action to address human health risks, th</w:t>
      </w:r>
      <w:r w:rsidR="00822543">
        <w:rPr>
          <w:rFonts w:ascii="Verdana" w:hAnsi="Verdana"/>
          <w:sz w:val="20"/>
        </w:rPr>
        <w:t>e</w:t>
      </w:r>
      <w:r w:rsidR="00283F77" w:rsidRPr="00516E87">
        <w:rPr>
          <w:rFonts w:ascii="Verdana" w:hAnsi="Verdana"/>
          <w:sz w:val="20"/>
        </w:rPr>
        <w:t xml:space="preserve"> RMO</w:t>
      </w:r>
      <w:r w:rsidR="00822543">
        <w:rPr>
          <w:rFonts w:ascii="Verdana" w:hAnsi="Verdana"/>
          <w:sz w:val="20"/>
        </w:rPr>
        <w:t>A</w:t>
      </w:r>
      <w:r w:rsidR="00283F77" w:rsidRPr="00516E87">
        <w:rPr>
          <w:rFonts w:ascii="Verdana" w:hAnsi="Verdana"/>
          <w:sz w:val="20"/>
        </w:rPr>
        <w:t xml:space="preserve"> does not consider measures to protect human health.</w:t>
      </w:r>
    </w:p>
    <w:p w14:paraId="39B96A44" w14:textId="36DEEE29" w:rsidR="000E3DC6" w:rsidRDefault="000E3DC6" w:rsidP="000E3DC6">
      <w:pPr>
        <w:pStyle w:val="Heading1"/>
        <w:tabs>
          <w:tab w:val="clear" w:pos="839"/>
          <w:tab w:val="clear" w:pos="1077"/>
        </w:tabs>
        <w:ind w:left="426" w:hanging="426"/>
        <w:rPr>
          <w:rFonts w:ascii="Verdana" w:hAnsi="Verdana"/>
        </w:rPr>
      </w:pPr>
      <w:bookmarkStart w:id="13" w:name="_Toc387770102"/>
      <w:bookmarkEnd w:id="11"/>
      <w:bookmarkEnd w:id="12"/>
      <w:r w:rsidRPr="000E3DC6">
        <w:rPr>
          <w:rFonts w:ascii="Verdana" w:hAnsi="Verdana"/>
        </w:rPr>
        <w:lastRenderedPageBreak/>
        <w:t>HAZARD INFORMATION (INCLUDING CLASSIFICATION)</w:t>
      </w:r>
      <w:bookmarkEnd w:id="13"/>
    </w:p>
    <w:p w14:paraId="39B96A47" w14:textId="77777777" w:rsidR="000E3DC6" w:rsidRDefault="000E3DC6" w:rsidP="000E3DC6">
      <w:pPr>
        <w:pStyle w:val="Heading2"/>
        <w:tabs>
          <w:tab w:val="clear" w:pos="839"/>
          <w:tab w:val="num" w:pos="540"/>
        </w:tabs>
        <w:spacing w:before="240"/>
        <w:ind w:left="540" w:hanging="540"/>
      </w:pPr>
      <w:bookmarkStart w:id="14" w:name="_Toc387770103"/>
      <w:r w:rsidRPr="00E25711">
        <w:t>Classification</w:t>
      </w:r>
      <w:bookmarkEnd w:id="14"/>
      <w:r w:rsidRPr="00E25711">
        <w:t xml:space="preserve"> </w:t>
      </w:r>
    </w:p>
    <w:p w14:paraId="39B96A49" w14:textId="77777777" w:rsidR="00E25711" w:rsidRPr="00E25711" w:rsidRDefault="00E25711" w:rsidP="00336750">
      <w:pPr>
        <w:pStyle w:val="Heading3"/>
      </w:pPr>
      <w:bookmarkStart w:id="15" w:name="_Toc308015315"/>
      <w:bookmarkStart w:id="16" w:name="_Toc387770104"/>
      <w:bookmarkStart w:id="17" w:name="_Toc285710603"/>
      <w:r w:rsidRPr="00E25711">
        <w:t>Harmonised Classification in Annex VI of the CLP</w:t>
      </w:r>
      <w:bookmarkEnd w:id="15"/>
      <w:bookmarkEnd w:id="16"/>
    </w:p>
    <w:p w14:paraId="39B96A4B" w14:textId="3A34B900" w:rsidR="008039F3" w:rsidRPr="006010B1" w:rsidRDefault="00522911" w:rsidP="00DA167C">
      <w:pPr>
        <w:pStyle w:val="BodyText"/>
        <w:spacing w:after="0"/>
        <w:ind w:right="-477"/>
        <w:jc w:val="left"/>
        <w:rPr>
          <w:rFonts w:ascii="Verdana" w:hAnsi="Verdana"/>
          <w:sz w:val="20"/>
        </w:rPr>
      </w:pPr>
      <w:r>
        <w:rPr>
          <w:rFonts w:ascii="Verdana" w:hAnsi="Verdana"/>
          <w:color w:val="000000" w:themeColor="text1"/>
          <w:sz w:val="20"/>
        </w:rPr>
        <w:fldChar w:fldCharType="begin"/>
      </w:r>
      <w:r>
        <w:rPr>
          <w:rFonts w:ascii="Verdana" w:hAnsi="Verdana"/>
          <w:color w:val="000000" w:themeColor="text1"/>
          <w:sz w:val="20"/>
        </w:rPr>
        <w:instrText xml:space="preserve"> REF _Ref23862103 \h </w:instrText>
      </w:r>
      <w:r>
        <w:rPr>
          <w:rFonts w:ascii="Verdana" w:hAnsi="Verdana"/>
          <w:color w:val="000000" w:themeColor="text1"/>
          <w:sz w:val="20"/>
        </w:rPr>
      </w:r>
      <w:r>
        <w:rPr>
          <w:rFonts w:ascii="Verdana" w:hAnsi="Verdana"/>
          <w:color w:val="000000" w:themeColor="text1"/>
          <w:sz w:val="20"/>
        </w:rPr>
        <w:fldChar w:fldCharType="separate"/>
      </w:r>
      <w:r w:rsidRPr="00522911">
        <w:rPr>
          <w:rFonts w:ascii="Verdana" w:hAnsi="Verdana"/>
          <w:b/>
          <w:sz w:val="20"/>
        </w:rPr>
        <w:t xml:space="preserve">Table </w:t>
      </w:r>
      <w:r w:rsidRPr="00522911">
        <w:rPr>
          <w:rFonts w:ascii="Verdana" w:hAnsi="Verdana"/>
          <w:b/>
          <w:noProof/>
          <w:sz w:val="20"/>
        </w:rPr>
        <w:t>4</w:t>
      </w:r>
      <w:r>
        <w:rPr>
          <w:rFonts w:ascii="Verdana" w:hAnsi="Verdana"/>
          <w:color w:val="000000" w:themeColor="text1"/>
          <w:sz w:val="20"/>
        </w:rPr>
        <w:fldChar w:fldCharType="end"/>
      </w:r>
      <w:r w:rsidR="006010B1">
        <w:rPr>
          <w:rFonts w:ascii="Verdana" w:hAnsi="Verdana"/>
          <w:color w:val="000000" w:themeColor="text1"/>
          <w:sz w:val="20"/>
        </w:rPr>
        <w:t xml:space="preserve"> details the current harmonised classification for this substance. </w:t>
      </w:r>
    </w:p>
    <w:p w14:paraId="6F0405D2" w14:textId="77777777" w:rsidR="00773C55" w:rsidRDefault="00773C55" w:rsidP="00DA167C">
      <w:pPr>
        <w:pStyle w:val="BodyText"/>
        <w:spacing w:after="0"/>
        <w:ind w:right="-477"/>
        <w:jc w:val="left"/>
        <w:rPr>
          <w:rFonts w:ascii="Verdana" w:hAnsi="Verdana"/>
          <w:i/>
          <w:sz w:val="20"/>
        </w:rPr>
      </w:pPr>
    </w:p>
    <w:p w14:paraId="39B96A4C" w14:textId="124D518C" w:rsidR="008D3633" w:rsidRPr="008D3633" w:rsidRDefault="005B26B9" w:rsidP="005B26B9">
      <w:pPr>
        <w:pStyle w:val="Caption"/>
        <w:rPr>
          <w:rFonts w:ascii="Verdana" w:hAnsi="Verdana"/>
          <w:b/>
          <w:i/>
          <w:sz w:val="20"/>
        </w:rPr>
      </w:pPr>
      <w:bookmarkStart w:id="18" w:name="_Ref23862103"/>
      <w:r w:rsidRPr="005B26B9">
        <w:rPr>
          <w:rFonts w:ascii="Verdana" w:hAnsi="Verdana"/>
          <w:b/>
          <w:sz w:val="20"/>
        </w:rPr>
        <w:t xml:space="preserve">Table </w:t>
      </w:r>
      <w:r w:rsidRPr="005B26B9">
        <w:rPr>
          <w:rFonts w:ascii="Verdana" w:hAnsi="Verdana"/>
          <w:b/>
          <w:sz w:val="20"/>
        </w:rPr>
        <w:fldChar w:fldCharType="begin"/>
      </w:r>
      <w:r w:rsidRPr="005B26B9">
        <w:rPr>
          <w:rFonts w:ascii="Verdana" w:hAnsi="Verdana"/>
          <w:b/>
          <w:sz w:val="20"/>
        </w:rPr>
        <w:instrText xml:space="preserve"> SEQ Table \* ARABIC </w:instrText>
      </w:r>
      <w:r w:rsidRPr="005B26B9">
        <w:rPr>
          <w:rFonts w:ascii="Verdana" w:hAnsi="Verdana"/>
          <w:b/>
          <w:sz w:val="20"/>
        </w:rPr>
        <w:fldChar w:fldCharType="separate"/>
      </w:r>
      <w:r w:rsidR="005C355A">
        <w:rPr>
          <w:rFonts w:ascii="Verdana" w:hAnsi="Verdana"/>
          <w:b/>
          <w:noProof/>
          <w:sz w:val="20"/>
        </w:rPr>
        <w:t>4</w:t>
      </w:r>
      <w:r w:rsidRPr="005B26B9">
        <w:rPr>
          <w:rFonts w:ascii="Verdana" w:hAnsi="Verdana"/>
          <w:b/>
          <w:sz w:val="20"/>
        </w:rPr>
        <w:fldChar w:fldCharType="end"/>
      </w:r>
      <w:bookmarkEnd w:id="18"/>
      <w:r w:rsidR="008D3633" w:rsidRPr="00522911">
        <w:rPr>
          <w:rFonts w:ascii="Verdana" w:hAnsi="Verdana"/>
          <w:b/>
          <w:sz w:val="20"/>
        </w:rPr>
        <w:t>:</w:t>
      </w:r>
      <w:r w:rsidR="008D3633" w:rsidRPr="008D3633">
        <w:rPr>
          <w:rFonts w:ascii="Verdana" w:hAnsi="Verdana"/>
          <w:b/>
          <w:sz w:val="20"/>
        </w:rPr>
        <w:t xml:space="preserve"> Harmonised classification  </w:t>
      </w:r>
    </w:p>
    <w:tbl>
      <w:tblPr>
        <w:tblW w:w="5296" w:type="pct"/>
        <w:tblInd w:w="-145" w:type="dxa"/>
        <w:tblLayout w:type="fixed"/>
        <w:tblLook w:val="0000" w:firstRow="0" w:lastRow="0" w:firstColumn="0" w:lastColumn="0" w:noHBand="0" w:noVBand="0"/>
      </w:tblPr>
      <w:tblGrid>
        <w:gridCol w:w="794"/>
        <w:gridCol w:w="1519"/>
        <w:gridCol w:w="827"/>
        <w:gridCol w:w="966"/>
        <w:gridCol w:w="1849"/>
        <w:gridCol w:w="1135"/>
        <w:gridCol w:w="883"/>
        <w:gridCol w:w="825"/>
      </w:tblGrid>
      <w:tr w:rsidR="00822543" w:rsidRPr="0054559A" w14:paraId="39B96A54" w14:textId="77777777" w:rsidTr="00822543">
        <w:trPr>
          <w:cantSplit/>
          <w:trHeight w:val="98"/>
        </w:trPr>
        <w:tc>
          <w:tcPr>
            <w:tcW w:w="451" w:type="pct"/>
            <w:vMerge w:val="restart"/>
            <w:tcBorders>
              <w:top w:val="single" w:sz="2" w:space="0" w:color="auto"/>
              <w:left w:val="single" w:sz="2" w:space="0" w:color="auto"/>
              <w:right w:val="single" w:sz="2" w:space="0" w:color="auto"/>
            </w:tcBorders>
          </w:tcPr>
          <w:p w14:paraId="39B96A4D"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Index No</w:t>
            </w:r>
          </w:p>
        </w:tc>
        <w:tc>
          <w:tcPr>
            <w:tcW w:w="863" w:type="pct"/>
            <w:vMerge w:val="restart"/>
            <w:tcBorders>
              <w:top w:val="single" w:sz="2" w:space="0" w:color="auto"/>
              <w:left w:val="single" w:sz="2" w:space="0" w:color="auto"/>
              <w:right w:val="single" w:sz="2" w:space="0" w:color="auto"/>
            </w:tcBorders>
          </w:tcPr>
          <w:p w14:paraId="39B96A4E"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International Chemical Identification</w:t>
            </w:r>
          </w:p>
        </w:tc>
        <w:tc>
          <w:tcPr>
            <w:tcW w:w="470" w:type="pct"/>
            <w:vMerge w:val="restart"/>
            <w:tcBorders>
              <w:top w:val="single" w:sz="2" w:space="0" w:color="auto"/>
              <w:left w:val="single" w:sz="2" w:space="0" w:color="auto"/>
              <w:right w:val="single" w:sz="2" w:space="0" w:color="auto"/>
            </w:tcBorders>
          </w:tcPr>
          <w:p w14:paraId="39B96A4F"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EC No</w:t>
            </w:r>
          </w:p>
        </w:tc>
        <w:tc>
          <w:tcPr>
            <w:tcW w:w="549" w:type="pct"/>
            <w:vMerge w:val="restart"/>
            <w:tcBorders>
              <w:top w:val="single" w:sz="2" w:space="0" w:color="auto"/>
              <w:left w:val="single" w:sz="2" w:space="0" w:color="auto"/>
              <w:right w:val="single" w:sz="2" w:space="0" w:color="auto"/>
            </w:tcBorders>
          </w:tcPr>
          <w:p w14:paraId="39B96A50"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CAS No</w:t>
            </w:r>
          </w:p>
        </w:tc>
        <w:tc>
          <w:tcPr>
            <w:tcW w:w="1696" w:type="pct"/>
            <w:gridSpan w:val="2"/>
            <w:tcBorders>
              <w:top w:val="single" w:sz="2" w:space="0" w:color="auto"/>
              <w:left w:val="single" w:sz="2" w:space="0" w:color="auto"/>
              <w:bottom w:val="single" w:sz="4" w:space="0" w:color="auto"/>
              <w:right w:val="single" w:sz="2" w:space="0" w:color="auto"/>
            </w:tcBorders>
          </w:tcPr>
          <w:p w14:paraId="39B96A51" w14:textId="77777777" w:rsidR="00822543" w:rsidRPr="0054559A" w:rsidRDefault="00822543" w:rsidP="003D15D1">
            <w:pPr>
              <w:spacing w:after="0"/>
              <w:jc w:val="center"/>
              <w:rPr>
                <w:rFonts w:ascii="Verdana" w:hAnsi="Verdana"/>
                <w:b/>
                <w:sz w:val="16"/>
                <w:szCs w:val="16"/>
              </w:rPr>
            </w:pPr>
            <w:r w:rsidRPr="0054559A">
              <w:rPr>
                <w:rFonts w:ascii="Verdana" w:hAnsi="Verdana"/>
                <w:b/>
                <w:sz w:val="16"/>
                <w:szCs w:val="16"/>
              </w:rPr>
              <w:t>Classification</w:t>
            </w:r>
          </w:p>
        </w:tc>
        <w:tc>
          <w:tcPr>
            <w:tcW w:w="502" w:type="pct"/>
            <w:vMerge w:val="restart"/>
            <w:tcBorders>
              <w:top w:val="single" w:sz="2" w:space="0" w:color="auto"/>
              <w:left w:val="single" w:sz="2" w:space="0" w:color="auto"/>
              <w:right w:val="single" w:sz="2" w:space="0" w:color="auto"/>
            </w:tcBorders>
          </w:tcPr>
          <w:p w14:paraId="39B96A52" w14:textId="77777777" w:rsidR="00822543" w:rsidRPr="0054559A" w:rsidRDefault="00822543" w:rsidP="003D15D1">
            <w:pPr>
              <w:spacing w:after="0"/>
              <w:jc w:val="center"/>
              <w:rPr>
                <w:rFonts w:ascii="Verdana" w:hAnsi="Verdana"/>
                <w:b/>
                <w:sz w:val="16"/>
                <w:szCs w:val="16"/>
              </w:rPr>
            </w:pPr>
            <w:r w:rsidRPr="0054559A">
              <w:rPr>
                <w:rFonts w:ascii="Verdana" w:hAnsi="Verdana"/>
                <w:b/>
                <w:sz w:val="16"/>
                <w:szCs w:val="16"/>
              </w:rPr>
              <w:t>Spec. Conc. Limits, M-factors</w:t>
            </w:r>
          </w:p>
        </w:tc>
        <w:tc>
          <w:tcPr>
            <w:tcW w:w="469" w:type="pct"/>
            <w:vMerge w:val="restart"/>
            <w:tcBorders>
              <w:top w:val="single" w:sz="2" w:space="0" w:color="auto"/>
              <w:left w:val="single" w:sz="2" w:space="0" w:color="auto"/>
              <w:right w:val="single" w:sz="2" w:space="0" w:color="auto"/>
            </w:tcBorders>
          </w:tcPr>
          <w:p w14:paraId="39B96A53"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Notes</w:t>
            </w:r>
          </w:p>
        </w:tc>
      </w:tr>
      <w:tr w:rsidR="00822543" w:rsidRPr="0054559A" w14:paraId="39B96A5D" w14:textId="77777777" w:rsidTr="00822543">
        <w:trPr>
          <w:cantSplit/>
          <w:trHeight w:val="168"/>
        </w:trPr>
        <w:tc>
          <w:tcPr>
            <w:tcW w:w="451" w:type="pct"/>
            <w:vMerge/>
            <w:tcBorders>
              <w:left w:val="single" w:sz="2" w:space="0" w:color="auto"/>
              <w:bottom w:val="single" w:sz="2" w:space="0" w:color="auto"/>
              <w:right w:val="single" w:sz="2" w:space="0" w:color="auto"/>
            </w:tcBorders>
          </w:tcPr>
          <w:p w14:paraId="39B96A55" w14:textId="77777777" w:rsidR="00822543" w:rsidRPr="0054559A" w:rsidRDefault="00822543" w:rsidP="003D15D1">
            <w:pPr>
              <w:spacing w:after="0"/>
              <w:rPr>
                <w:b/>
                <w:sz w:val="16"/>
                <w:szCs w:val="16"/>
              </w:rPr>
            </w:pPr>
          </w:p>
        </w:tc>
        <w:tc>
          <w:tcPr>
            <w:tcW w:w="863" w:type="pct"/>
            <w:vMerge/>
            <w:tcBorders>
              <w:left w:val="single" w:sz="2" w:space="0" w:color="auto"/>
              <w:bottom w:val="single" w:sz="2" w:space="0" w:color="auto"/>
              <w:right w:val="single" w:sz="2" w:space="0" w:color="auto"/>
            </w:tcBorders>
          </w:tcPr>
          <w:p w14:paraId="39B96A56" w14:textId="77777777" w:rsidR="00822543" w:rsidRPr="0054559A" w:rsidRDefault="00822543" w:rsidP="003D15D1">
            <w:pPr>
              <w:spacing w:after="0"/>
              <w:rPr>
                <w:b/>
                <w:sz w:val="16"/>
                <w:szCs w:val="16"/>
              </w:rPr>
            </w:pPr>
          </w:p>
        </w:tc>
        <w:tc>
          <w:tcPr>
            <w:tcW w:w="470" w:type="pct"/>
            <w:vMerge/>
            <w:tcBorders>
              <w:left w:val="single" w:sz="2" w:space="0" w:color="auto"/>
              <w:bottom w:val="single" w:sz="2" w:space="0" w:color="auto"/>
              <w:right w:val="single" w:sz="2" w:space="0" w:color="auto"/>
            </w:tcBorders>
          </w:tcPr>
          <w:p w14:paraId="39B96A57" w14:textId="77777777" w:rsidR="00822543" w:rsidRPr="0054559A" w:rsidRDefault="00822543" w:rsidP="003D15D1">
            <w:pPr>
              <w:spacing w:after="0"/>
              <w:rPr>
                <w:b/>
                <w:sz w:val="16"/>
                <w:szCs w:val="16"/>
              </w:rPr>
            </w:pPr>
          </w:p>
        </w:tc>
        <w:tc>
          <w:tcPr>
            <w:tcW w:w="549" w:type="pct"/>
            <w:vMerge/>
            <w:tcBorders>
              <w:left w:val="single" w:sz="2" w:space="0" w:color="auto"/>
              <w:bottom w:val="single" w:sz="2" w:space="0" w:color="auto"/>
              <w:right w:val="single" w:sz="2" w:space="0" w:color="auto"/>
            </w:tcBorders>
          </w:tcPr>
          <w:p w14:paraId="39B96A58" w14:textId="77777777" w:rsidR="00822543" w:rsidRPr="0054559A" w:rsidRDefault="00822543" w:rsidP="003D15D1">
            <w:pPr>
              <w:spacing w:after="0"/>
              <w:rPr>
                <w:rFonts w:ascii="Verdana" w:hAnsi="Verdana"/>
                <w:b/>
                <w:sz w:val="16"/>
                <w:szCs w:val="16"/>
              </w:rPr>
            </w:pPr>
          </w:p>
        </w:tc>
        <w:tc>
          <w:tcPr>
            <w:tcW w:w="1051" w:type="pct"/>
            <w:tcBorders>
              <w:top w:val="single" w:sz="4" w:space="0" w:color="auto"/>
              <w:left w:val="single" w:sz="2" w:space="0" w:color="auto"/>
              <w:bottom w:val="single" w:sz="2" w:space="0" w:color="auto"/>
              <w:right w:val="single" w:sz="2" w:space="0" w:color="auto"/>
            </w:tcBorders>
          </w:tcPr>
          <w:p w14:paraId="39B96A59"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Hazard Class and Category Code(s)</w:t>
            </w:r>
          </w:p>
        </w:tc>
        <w:tc>
          <w:tcPr>
            <w:tcW w:w="645" w:type="pct"/>
            <w:tcBorders>
              <w:top w:val="single" w:sz="4" w:space="0" w:color="auto"/>
              <w:left w:val="single" w:sz="2" w:space="0" w:color="auto"/>
              <w:bottom w:val="single" w:sz="2" w:space="0" w:color="auto"/>
              <w:right w:val="single" w:sz="2" w:space="0" w:color="auto"/>
            </w:tcBorders>
          </w:tcPr>
          <w:p w14:paraId="39B96A5A" w14:textId="77777777" w:rsidR="00822543" w:rsidRPr="0054559A" w:rsidRDefault="00822543" w:rsidP="003D15D1">
            <w:pPr>
              <w:spacing w:after="0"/>
              <w:rPr>
                <w:rFonts w:ascii="Verdana" w:hAnsi="Verdana"/>
                <w:b/>
                <w:sz w:val="16"/>
                <w:szCs w:val="16"/>
              </w:rPr>
            </w:pPr>
            <w:r w:rsidRPr="0054559A">
              <w:rPr>
                <w:rFonts w:ascii="Verdana" w:hAnsi="Verdana"/>
                <w:b/>
                <w:sz w:val="16"/>
                <w:szCs w:val="16"/>
              </w:rPr>
              <w:t>Hazard statement code(s)</w:t>
            </w:r>
          </w:p>
        </w:tc>
        <w:tc>
          <w:tcPr>
            <w:tcW w:w="502" w:type="pct"/>
            <w:vMerge/>
            <w:tcBorders>
              <w:left w:val="single" w:sz="2" w:space="0" w:color="auto"/>
              <w:bottom w:val="single" w:sz="2" w:space="0" w:color="auto"/>
              <w:right w:val="single" w:sz="2" w:space="0" w:color="auto"/>
            </w:tcBorders>
          </w:tcPr>
          <w:p w14:paraId="39B96A5B" w14:textId="77777777" w:rsidR="00822543" w:rsidRPr="0054559A" w:rsidRDefault="00822543" w:rsidP="003D15D1">
            <w:pPr>
              <w:spacing w:after="0"/>
              <w:rPr>
                <w:b/>
                <w:sz w:val="16"/>
                <w:szCs w:val="16"/>
              </w:rPr>
            </w:pPr>
          </w:p>
        </w:tc>
        <w:tc>
          <w:tcPr>
            <w:tcW w:w="469" w:type="pct"/>
            <w:vMerge/>
            <w:tcBorders>
              <w:left w:val="single" w:sz="2" w:space="0" w:color="auto"/>
              <w:bottom w:val="single" w:sz="2" w:space="0" w:color="auto"/>
              <w:right w:val="single" w:sz="2" w:space="0" w:color="auto"/>
            </w:tcBorders>
          </w:tcPr>
          <w:p w14:paraId="39B96A5C" w14:textId="77777777" w:rsidR="00822543" w:rsidRPr="0054559A" w:rsidRDefault="00822543" w:rsidP="003D15D1">
            <w:pPr>
              <w:spacing w:after="0"/>
              <w:rPr>
                <w:b/>
                <w:sz w:val="16"/>
                <w:szCs w:val="16"/>
              </w:rPr>
            </w:pPr>
          </w:p>
        </w:tc>
      </w:tr>
      <w:tr w:rsidR="00773C55" w:rsidRPr="00822543" w14:paraId="39B96A66" w14:textId="77777777" w:rsidTr="00822543">
        <w:trPr>
          <w:cantSplit/>
          <w:trHeight w:val="168"/>
        </w:trPr>
        <w:tc>
          <w:tcPr>
            <w:tcW w:w="451" w:type="pct"/>
            <w:tcBorders>
              <w:left w:val="single" w:sz="2" w:space="0" w:color="auto"/>
              <w:bottom w:val="single" w:sz="2" w:space="0" w:color="auto"/>
              <w:right w:val="single" w:sz="2" w:space="0" w:color="auto"/>
            </w:tcBorders>
          </w:tcPr>
          <w:p w14:paraId="39B96A5E" w14:textId="0AFD5098" w:rsidR="00773C55" w:rsidRPr="00822543" w:rsidRDefault="00773C55" w:rsidP="00773C55">
            <w:pPr>
              <w:rPr>
                <w:rFonts w:ascii="Verdana" w:hAnsi="Verdana"/>
                <w:sz w:val="18"/>
                <w:szCs w:val="20"/>
              </w:rPr>
            </w:pPr>
            <w:r w:rsidRPr="00822543">
              <w:rPr>
                <w:rFonts w:ascii="Verdana" w:hAnsi="Verdana"/>
                <w:sz w:val="18"/>
                <w:szCs w:val="20"/>
              </w:rPr>
              <w:t>602-095-00-X</w:t>
            </w:r>
          </w:p>
        </w:tc>
        <w:tc>
          <w:tcPr>
            <w:tcW w:w="863" w:type="pct"/>
            <w:tcBorders>
              <w:left w:val="single" w:sz="2" w:space="0" w:color="auto"/>
              <w:bottom w:val="single" w:sz="2" w:space="0" w:color="auto"/>
              <w:right w:val="single" w:sz="2" w:space="0" w:color="auto"/>
            </w:tcBorders>
          </w:tcPr>
          <w:p w14:paraId="39B96A5F" w14:textId="6B44D61B" w:rsidR="00773C55" w:rsidRPr="00822543" w:rsidRDefault="00822543" w:rsidP="00822543">
            <w:pPr>
              <w:rPr>
                <w:rFonts w:ascii="Verdana" w:hAnsi="Verdana"/>
                <w:sz w:val="18"/>
                <w:szCs w:val="20"/>
              </w:rPr>
            </w:pPr>
            <w:r w:rsidRPr="00822543">
              <w:rPr>
                <w:rFonts w:ascii="Verdana" w:hAnsi="Verdana"/>
                <w:sz w:val="18"/>
                <w:szCs w:val="20"/>
              </w:rPr>
              <w:t>A</w:t>
            </w:r>
            <w:r w:rsidR="00773C55" w:rsidRPr="00822543">
              <w:rPr>
                <w:rFonts w:ascii="Verdana" w:hAnsi="Verdana"/>
                <w:sz w:val="18"/>
                <w:szCs w:val="20"/>
              </w:rPr>
              <w:t>lkanes, C</w:t>
            </w:r>
            <w:r w:rsidR="00773C55" w:rsidRPr="00822543">
              <w:rPr>
                <w:rFonts w:ascii="Verdana" w:hAnsi="Verdana"/>
                <w:sz w:val="18"/>
                <w:szCs w:val="20"/>
                <w:vertAlign w:val="subscript"/>
              </w:rPr>
              <w:t>14-17</w:t>
            </w:r>
            <w:r w:rsidR="00773C55" w:rsidRPr="00822543">
              <w:rPr>
                <w:rFonts w:ascii="Verdana" w:hAnsi="Verdana"/>
                <w:sz w:val="18"/>
                <w:szCs w:val="20"/>
              </w:rPr>
              <w:t>, chloro</w:t>
            </w:r>
          </w:p>
        </w:tc>
        <w:tc>
          <w:tcPr>
            <w:tcW w:w="470" w:type="pct"/>
            <w:tcBorders>
              <w:left w:val="single" w:sz="2" w:space="0" w:color="auto"/>
              <w:bottom w:val="single" w:sz="2" w:space="0" w:color="auto"/>
              <w:right w:val="single" w:sz="2" w:space="0" w:color="auto"/>
            </w:tcBorders>
          </w:tcPr>
          <w:p w14:paraId="39B96A60" w14:textId="0712DCB4" w:rsidR="00773C55" w:rsidRPr="00822543" w:rsidRDefault="00773C55" w:rsidP="00773C55">
            <w:pPr>
              <w:rPr>
                <w:rFonts w:ascii="Verdana" w:hAnsi="Verdana"/>
                <w:sz w:val="18"/>
                <w:szCs w:val="20"/>
              </w:rPr>
            </w:pPr>
            <w:r w:rsidRPr="00822543">
              <w:rPr>
                <w:rFonts w:ascii="Verdana" w:hAnsi="Verdana"/>
                <w:sz w:val="18"/>
                <w:szCs w:val="20"/>
              </w:rPr>
              <w:t>287-477-0</w:t>
            </w:r>
          </w:p>
        </w:tc>
        <w:tc>
          <w:tcPr>
            <w:tcW w:w="549" w:type="pct"/>
            <w:tcBorders>
              <w:left w:val="single" w:sz="2" w:space="0" w:color="auto"/>
              <w:bottom w:val="single" w:sz="2" w:space="0" w:color="auto"/>
              <w:right w:val="single" w:sz="2" w:space="0" w:color="auto"/>
            </w:tcBorders>
          </w:tcPr>
          <w:p w14:paraId="39B96A61" w14:textId="79A98A67" w:rsidR="00773C55" w:rsidRPr="00822543" w:rsidRDefault="00773C55" w:rsidP="00773C55">
            <w:pPr>
              <w:rPr>
                <w:rFonts w:ascii="Verdana" w:hAnsi="Verdana"/>
                <w:sz w:val="18"/>
                <w:szCs w:val="20"/>
              </w:rPr>
            </w:pPr>
            <w:r w:rsidRPr="00822543">
              <w:rPr>
                <w:rFonts w:ascii="Verdana" w:hAnsi="Verdana"/>
                <w:sz w:val="18"/>
                <w:szCs w:val="20"/>
              </w:rPr>
              <w:t>85535-85-9</w:t>
            </w:r>
          </w:p>
        </w:tc>
        <w:tc>
          <w:tcPr>
            <w:tcW w:w="1051" w:type="pct"/>
            <w:tcBorders>
              <w:top w:val="single" w:sz="4" w:space="0" w:color="auto"/>
              <w:left w:val="single" w:sz="2" w:space="0" w:color="auto"/>
              <w:bottom w:val="single" w:sz="2" w:space="0" w:color="auto"/>
              <w:right w:val="single" w:sz="2" w:space="0" w:color="auto"/>
            </w:tcBorders>
          </w:tcPr>
          <w:p w14:paraId="338D545A" w14:textId="63203AF8" w:rsidR="00773C55" w:rsidRPr="00822543" w:rsidRDefault="00773C55" w:rsidP="00773C55">
            <w:pPr>
              <w:rPr>
                <w:rFonts w:ascii="Verdana" w:hAnsi="Verdana"/>
                <w:sz w:val="18"/>
                <w:szCs w:val="20"/>
              </w:rPr>
            </w:pPr>
            <w:proofErr w:type="spellStart"/>
            <w:r w:rsidRPr="00822543">
              <w:rPr>
                <w:rFonts w:ascii="Verdana" w:hAnsi="Verdana"/>
                <w:sz w:val="18"/>
                <w:szCs w:val="20"/>
              </w:rPr>
              <w:t>Lact</w:t>
            </w:r>
            <w:proofErr w:type="spellEnd"/>
            <w:r w:rsidRPr="00822543">
              <w:rPr>
                <w:rFonts w:ascii="Verdana" w:hAnsi="Verdana"/>
                <w:sz w:val="18"/>
                <w:szCs w:val="20"/>
              </w:rPr>
              <w:t>.</w:t>
            </w:r>
          </w:p>
          <w:p w14:paraId="4FE9D151" w14:textId="77777777" w:rsidR="00773C55" w:rsidRPr="00822543" w:rsidRDefault="00773C55" w:rsidP="00773C55">
            <w:pPr>
              <w:rPr>
                <w:rFonts w:ascii="Verdana" w:hAnsi="Verdana"/>
                <w:sz w:val="18"/>
                <w:szCs w:val="20"/>
              </w:rPr>
            </w:pPr>
            <w:r w:rsidRPr="00822543">
              <w:rPr>
                <w:rFonts w:ascii="Verdana" w:hAnsi="Verdana"/>
                <w:sz w:val="18"/>
                <w:szCs w:val="20"/>
              </w:rPr>
              <w:t>Aquatic Acute 1</w:t>
            </w:r>
          </w:p>
          <w:p w14:paraId="39B96A62" w14:textId="580FFB59" w:rsidR="00773C55" w:rsidRPr="00822543" w:rsidRDefault="00773C55" w:rsidP="00773C55">
            <w:pPr>
              <w:rPr>
                <w:rFonts w:ascii="Verdana" w:hAnsi="Verdana"/>
                <w:sz w:val="18"/>
                <w:szCs w:val="20"/>
              </w:rPr>
            </w:pPr>
            <w:r w:rsidRPr="00822543">
              <w:rPr>
                <w:rFonts w:ascii="Verdana" w:hAnsi="Verdana"/>
                <w:sz w:val="18"/>
                <w:szCs w:val="20"/>
              </w:rPr>
              <w:t>Aquatic Chronic 1</w:t>
            </w:r>
          </w:p>
        </w:tc>
        <w:tc>
          <w:tcPr>
            <w:tcW w:w="645" w:type="pct"/>
            <w:tcBorders>
              <w:top w:val="single" w:sz="4" w:space="0" w:color="auto"/>
              <w:left w:val="single" w:sz="2" w:space="0" w:color="auto"/>
              <w:bottom w:val="single" w:sz="2" w:space="0" w:color="auto"/>
              <w:right w:val="single" w:sz="2" w:space="0" w:color="auto"/>
            </w:tcBorders>
          </w:tcPr>
          <w:p w14:paraId="7D1AF2B6" w14:textId="77777777" w:rsidR="00773C55" w:rsidRPr="00822543" w:rsidRDefault="00773C55" w:rsidP="00773C55">
            <w:pPr>
              <w:rPr>
                <w:rFonts w:ascii="Verdana" w:hAnsi="Verdana"/>
                <w:sz w:val="18"/>
                <w:szCs w:val="20"/>
              </w:rPr>
            </w:pPr>
            <w:r w:rsidRPr="00822543">
              <w:rPr>
                <w:rFonts w:ascii="Verdana" w:hAnsi="Verdana"/>
                <w:sz w:val="18"/>
                <w:szCs w:val="20"/>
              </w:rPr>
              <w:t>H362</w:t>
            </w:r>
          </w:p>
          <w:p w14:paraId="0DDE2C0D" w14:textId="77777777" w:rsidR="00773C55" w:rsidRPr="00822543" w:rsidRDefault="00773C55" w:rsidP="00773C55">
            <w:pPr>
              <w:rPr>
                <w:rFonts w:ascii="Verdana" w:hAnsi="Verdana"/>
                <w:sz w:val="18"/>
                <w:szCs w:val="20"/>
              </w:rPr>
            </w:pPr>
            <w:r w:rsidRPr="00822543">
              <w:rPr>
                <w:rFonts w:ascii="Verdana" w:hAnsi="Verdana"/>
                <w:sz w:val="18"/>
                <w:szCs w:val="20"/>
              </w:rPr>
              <w:t>H400</w:t>
            </w:r>
          </w:p>
          <w:p w14:paraId="39B96A63" w14:textId="5C7B333B" w:rsidR="00773C55" w:rsidRPr="00822543" w:rsidRDefault="00773C55" w:rsidP="00773C55">
            <w:pPr>
              <w:rPr>
                <w:rFonts w:ascii="Verdana" w:hAnsi="Verdana"/>
                <w:sz w:val="18"/>
                <w:szCs w:val="20"/>
              </w:rPr>
            </w:pPr>
            <w:r w:rsidRPr="00822543">
              <w:rPr>
                <w:rFonts w:ascii="Verdana" w:hAnsi="Verdana"/>
                <w:sz w:val="18"/>
                <w:szCs w:val="20"/>
              </w:rPr>
              <w:t>H410</w:t>
            </w:r>
          </w:p>
        </w:tc>
        <w:tc>
          <w:tcPr>
            <w:tcW w:w="502" w:type="pct"/>
            <w:tcBorders>
              <w:left w:val="single" w:sz="2" w:space="0" w:color="auto"/>
              <w:bottom w:val="single" w:sz="2" w:space="0" w:color="auto"/>
              <w:right w:val="single" w:sz="2" w:space="0" w:color="auto"/>
            </w:tcBorders>
          </w:tcPr>
          <w:p w14:paraId="39B96A64" w14:textId="77777777" w:rsidR="00773C55" w:rsidRPr="00822543" w:rsidRDefault="00773C55" w:rsidP="00773C55">
            <w:pPr>
              <w:rPr>
                <w:rFonts w:ascii="Verdana" w:hAnsi="Verdana"/>
                <w:sz w:val="18"/>
                <w:szCs w:val="20"/>
              </w:rPr>
            </w:pPr>
          </w:p>
        </w:tc>
        <w:tc>
          <w:tcPr>
            <w:tcW w:w="469" w:type="pct"/>
            <w:tcBorders>
              <w:left w:val="single" w:sz="2" w:space="0" w:color="auto"/>
              <w:bottom w:val="single" w:sz="2" w:space="0" w:color="auto"/>
              <w:right w:val="single" w:sz="2" w:space="0" w:color="auto"/>
            </w:tcBorders>
          </w:tcPr>
          <w:p w14:paraId="39B96A65" w14:textId="77777777" w:rsidR="00773C55" w:rsidRPr="00822543" w:rsidRDefault="00773C55" w:rsidP="00773C55">
            <w:pPr>
              <w:rPr>
                <w:rFonts w:ascii="Verdana" w:hAnsi="Verdana"/>
                <w:sz w:val="18"/>
                <w:szCs w:val="20"/>
              </w:rPr>
            </w:pPr>
          </w:p>
        </w:tc>
      </w:tr>
    </w:tbl>
    <w:p w14:paraId="39B96A67" w14:textId="77777777" w:rsidR="00E25711" w:rsidRDefault="00E25711" w:rsidP="00EF327E">
      <w:pPr>
        <w:pStyle w:val="BodyText"/>
        <w:spacing w:after="0"/>
        <w:rPr>
          <w:rFonts w:ascii="Verdana" w:hAnsi="Verdana"/>
        </w:rPr>
      </w:pPr>
    </w:p>
    <w:p w14:paraId="4202DB94" w14:textId="42301A45" w:rsidR="006010B1" w:rsidRPr="008D3633" w:rsidRDefault="006010B1" w:rsidP="00EF327E">
      <w:pPr>
        <w:pStyle w:val="BodyText"/>
        <w:spacing w:after="0"/>
        <w:rPr>
          <w:rFonts w:ascii="Verdana" w:hAnsi="Verdana"/>
        </w:rPr>
      </w:pPr>
      <w:r w:rsidRPr="00204715">
        <w:rPr>
          <w:rFonts w:ascii="Verdana" w:hAnsi="Verdana"/>
          <w:color w:val="000000" w:themeColor="text1"/>
          <w:sz w:val="20"/>
        </w:rPr>
        <w:t>No multiplication factors (M-factor</w:t>
      </w:r>
      <w:r>
        <w:rPr>
          <w:rFonts w:ascii="Verdana" w:hAnsi="Verdana"/>
          <w:color w:val="000000" w:themeColor="text1"/>
          <w:sz w:val="20"/>
        </w:rPr>
        <w:t xml:space="preserve">s) for mixtures are given in this harmonised classification </w:t>
      </w:r>
      <w:r w:rsidR="007E1D59">
        <w:rPr>
          <w:rFonts w:ascii="Verdana" w:hAnsi="Verdana"/>
          <w:color w:val="000000" w:themeColor="text1"/>
          <w:sz w:val="20"/>
        </w:rPr>
        <w:t>as</w:t>
      </w:r>
      <w:r>
        <w:rPr>
          <w:rFonts w:ascii="Verdana" w:hAnsi="Verdana"/>
          <w:color w:val="000000" w:themeColor="text1"/>
          <w:sz w:val="20"/>
        </w:rPr>
        <w:t xml:space="preserve"> it was introduced before the CLP Regulation was adopted.</w:t>
      </w:r>
    </w:p>
    <w:bookmarkEnd w:id="17"/>
    <w:p w14:paraId="39B96A68" w14:textId="5516EF52" w:rsidR="0024758B" w:rsidRPr="00E25711" w:rsidRDefault="00AF3CB0" w:rsidP="000E3DC6">
      <w:pPr>
        <w:pStyle w:val="Heading3"/>
      </w:pPr>
      <w:r w:rsidRPr="00E25711">
        <w:t>Self-classification</w:t>
      </w:r>
      <w:r w:rsidR="0024758B" w:rsidRPr="00E25711">
        <w:t xml:space="preserve"> </w:t>
      </w:r>
    </w:p>
    <w:p w14:paraId="3850565E" w14:textId="26302CAD" w:rsidR="00773C55" w:rsidRPr="00773C55" w:rsidRDefault="00773C55" w:rsidP="00773C55">
      <w:pPr>
        <w:spacing w:after="200"/>
        <w:jc w:val="both"/>
        <w:rPr>
          <w:rFonts w:ascii="Verdana" w:hAnsi="Verdana"/>
          <w:sz w:val="20"/>
          <w:szCs w:val="22"/>
          <w:lang w:val="en-GB" w:eastAsia="en-GB"/>
        </w:rPr>
      </w:pPr>
      <w:r w:rsidRPr="00773C55">
        <w:rPr>
          <w:rFonts w:ascii="Verdana" w:hAnsi="Verdana"/>
          <w:sz w:val="20"/>
          <w:szCs w:val="22"/>
          <w:lang w:val="en-GB" w:eastAsia="en-GB"/>
        </w:rPr>
        <w:t>The self-classification given in the latest Lead Reg</w:t>
      </w:r>
      <w:r w:rsidR="00F22A23">
        <w:rPr>
          <w:rFonts w:ascii="Verdana" w:hAnsi="Verdana"/>
          <w:sz w:val="20"/>
          <w:szCs w:val="22"/>
          <w:lang w:val="en-GB" w:eastAsia="en-GB"/>
        </w:rPr>
        <w:t>istration dossier includes M</w:t>
      </w:r>
      <w:r w:rsidR="00F22A23">
        <w:rPr>
          <w:rFonts w:ascii="Verdana" w:hAnsi="Verdana"/>
          <w:sz w:val="20"/>
          <w:szCs w:val="22"/>
          <w:lang w:val="en-GB" w:eastAsia="en-GB"/>
        </w:rPr>
        <w:noBreakHyphen/>
      </w:r>
      <w:r w:rsidRPr="00773C55">
        <w:rPr>
          <w:rFonts w:ascii="Verdana" w:hAnsi="Verdana"/>
          <w:sz w:val="20"/>
          <w:szCs w:val="22"/>
          <w:lang w:val="en-GB" w:eastAsia="en-GB"/>
        </w:rPr>
        <w:t>factor</w:t>
      </w:r>
      <w:r w:rsidR="00F22A23">
        <w:rPr>
          <w:rFonts w:ascii="Verdana" w:hAnsi="Verdana"/>
          <w:sz w:val="20"/>
          <w:szCs w:val="22"/>
          <w:lang w:val="en-GB" w:eastAsia="en-GB"/>
        </w:rPr>
        <w:t>s</w:t>
      </w:r>
      <w:r w:rsidRPr="00773C55">
        <w:rPr>
          <w:rFonts w:ascii="Verdana" w:hAnsi="Verdana"/>
          <w:sz w:val="20"/>
          <w:szCs w:val="22"/>
          <w:lang w:val="en-GB" w:eastAsia="en-GB"/>
        </w:rPr>
        <w:t xml:space="preserve"> for acute and chronic </w:t>
      </w:r>
      <w:r w:rsidR="00F22A23">
        <w:rPr>
          <w:rFonts w:ascii="Verdana" w:hAnsi="Verdana"/>
          <w:sz w:val="20"/>
          <w:szCs w:val="22"/>
          <w:lang w:val="en-GB" w:eastAsia="en-GB"/>
        </w:rPr>
        <w:t xml:space="preserve">aquatic </w:t>
      </w:r>
      <w:r w:rsidRPr="00773C55">
        <w:rPr>
          <w:rFonts w:ascii="Verdana" w:hAnsi="Verdana"/>
          <w:sz w:val="20"/>
          <w:szCs w:val="22"/>
          <w:lang w:val="en-GB" w:eastAsia="en-GB"/>
        </w:rPr>
        <w:t>hazards of 100 and 10, respectively</w:t>
      </w:r>
      <w:r w:rsidR="00822543">
        <w:rPr>
          <w:rFonts w:ascii="Verdana" w:hAnsi="Verdana"/>
          <w:sz w:val="20"/>
          <w:szCs w:val="22"/>
          <w:lang w:val="en-GB" w:eastAsia="en-GB"/>
        </w:rPr>
        <w:t>, based on</w:t>
      </w:r>
      <w:r w:rsidRPr="00773C55">
        <w:rPr>
          <w:rFonts w:ascii="Verdana" w:hAnsi="Verdana"/>
          <w:sz w:val="20"/>
          <w:szCs w:val="22"/>
          <w:lang w:val="en-GB" w:eastAsia="en-GB"/>
        </w:rPr>
        <w:t xml:space="preserve"> toxicity to aquatic invertebrates.</w:t>
      </w:r>
      <w:r w:rsidR="00822543">
        <w:rPr>
          <w:rFonts w:ascii="Verdana" w:hAnsi="Verdana"/>
          <w:sz w:val="20"/>
          <w:szCs w:val="22"/>
          <w:lang w:val="en-GB" w:eastAsia="en-GB"/>
        </w:rPr>
        <w:t xml:space="preserve"> </w:t>
      </w:r>
    </w:p>
    <w:p w14:paraId="39B96A70" w14:textId="3717C985" w:rsidR="0024332C" w:rsidRPr="00773C55" w:rsidRDefault="00773C55" w:rsidP="00773C55">
      <w:pPr>
        <w:spacing w:after="200"/>
        <w:jc w:val="both"/>
        <w:rPr>
          <w:rFonts w:ascii="Verdana" w:hAnsi="Verdana"/>
          <w:sz w:val="20"/>
          <w:szCs w:val="22"/>
          <w:lang w:val="en-GB" w:eastAsia="en-GB"/>
        </w:rPr>
      </w:pPr>
      <w:r w:rsidRPr="00773C55">
        <w:rPr>
          <w:rFonts w:ascii="Verdana" w:hAnsi="Verdana"/>
          <w:sz w:val="20"/>
          <w:szCs w:val="22"/>
          <w:lang w:val="en-GB" w:eastAsia="en-GB"/>
        </w:rPr>
        <w:t>The self-classification</w:t>
      </w:r>
      <w:r w:rsidR="00822543">
        <w:rPr>
          <w:rFonts w:ascii="Verdana" w:hAnsi="Verdana"/>
          <w:sz w:val="20"/>
          <w:szCs w:val="22"/>
          <w:lang w:val="en-GB" w:eastAsia="en-GB"/>
        </w:rPr>
        <w:t>s for</w:t>
      </w:r>
      <w:r w:rsidRPr="00773C55">
        <w:rPr>
          <w:rFonts w:ascii="Verdana" w:hAnsi="Verdana"/>
          <w:sz w:val="20"/>
          <w:szCs w:val="22"/>
          <w:lang w:val="en-GB" w:eastAsia="en-GB"/>
        </w:rPr>
        <w:t xml:space="preserve"> human health </w:t>
      </w:r>
      <w:r w:rsidR="00822543">
        <w:rPr>
          <w:rFonts w:ascii="Verdana" w:hAnsi="Verdana"/>
          <w:sz w:val="20"/>
          <w:szCs w:val="22"/>
          <w:lang w:val="en-GB" w:eastAsia="en-GB"/>
        </w:rPr>
        <w:t>hazards</w:t>
      </w:r>
      <w:r w:rsidRPr="00773C55">
        <w:rPr>
          <w:rFonts w:ascii="Verdana" w:hAnsi="Verdana"/>
          <w:sz w:val="20"/>
          <w:szCs w:val="22"/>
          <w:lang w:val="en-GB" w:eastAsia="en-GB"/>
        </w:rPr>
        <w:t xml:space="preserve"> are not considered in this evaluation.</w:t>
      </w:r>
      <w:r w:rsidRPr="00773C55" w:rsidDel="00F86AD6">
        <w:rPr>
          <w:rFonts w:ascii="Verdana" w:hAnsi="Verdana"/>
          <w:sz w:val="20"/>
          <w:szCs w:val="22"/>
          <w:lang w:val="en-GB" w:eastAsia="en-GB"/>
        </w:rPr>
        <w:t xml:space="preserve"> </w:t>
      </w:r>
    </w:p>
    <w:p w14:paraId="39B96A71" w14:textId="77777777" w:rsidR="006360FB" w:rsidRDefault="006360FB" w:rsidP="006360FB">
      <w:pPr>
        <w:pStyle w:val="Heading3"/>
      </w:pPr>
      <w:bookmarkStart w:id="19" w:name="_Toc352665471"/>
      <w:bookmarkStart w:id="20" w:name="_Toc387770107"/>
      <w:r w:rsidRPr="00E25711">
        <w:t>Proposal for Harmonised Classification in Annex VI of the CLP</w:t>
      </w:r>
      <w:bookmarkEnd w:id="19"/>
      <w:bookmarkEnd w:id="20"/>
    </w:p>
    <w:p w14:paraId="472CFEE8" w14:textId="181AFD0B" w:rsidR="00204715" w:rsidRPr="00A67D4E" w:rsidRDefault="001D38BD" w:rsidP="00A67D4E">
      <w:pPr>
        <w:pStyle w:val="BodyText"/>
        <w:rPr>
          <w:rFonts w:ascii="Verdana" w:hAnsi="Verdana"/>
          <w:color w:val="000000" w:themeColor="text1"/>
          <w:sz w:val="20"/>
        </w:rPr>
      </w:pPr>
      <w:r>
        <w:rPr>
          <w:rFonts w:ascii="Verdana" w:hAnsi="Verdana"/>
          <w:color w:val="000000" w:themeColor="text1"/>
          <w:sz w:val="20"/>
        </w:rPr>
        <w:t>There are no intentions or proposals in the Registry of current or submitted Harmonised Classification and Labelling Intention because the harmonised classification was introduced befo</w:t>
      </w:r>
      <w:r w:rsidR="006010B1">
        <w:rPr>
          <w:rFonts w:ascii="Verdana" w:hAnsi="Verdana"/>
          <w:color w:val="000000" w:themeColor="text1"/>
          <w:sz w:val="20"/>
        </w:rPr>
        <w:t>re the CLP R</w:t>
      </w:r>
      <w:r>
        <w:rPr>
          <w:rFonts w:ascii="Verdana" w:hAnsi="Verdana"/>
          <w:color w:val="000000" w:themeColor="text1"/>
          <w:sz w:val="20"/>
        </w:rPr>
        <w:t>egulation was adopted.</w:t>
      </w:r>
      <w:r w:rsidR="00F22A23" w:rsidRPr="00F22A23">
        <w:rPr>
          <w:rFonts w:ascii="Verdana" w:hAnsi="Verdana"/>
          <w:sz w:val="20"/>
          <w:szCs w:val="22"/>
          <w:lang w:eastAsia="en-GB"/>
        </w:rPr>
        <w:t xml:space="preserve"> </w:t>
      </w:r>
      <w:r w:rsidR="00F22A23">
        <w:rPr>
          <w:rFonts w:ascii="Verdana" w:hAnsi="Verdana"/>
          <w:sz w:val="20"/>
          <w:szCs w:val="22"/>
          <w:lang w:eastAsia="en-GB"/>
        </w:rPr>
        <w:t xml:space="preserve">Mixtures containing low concentrations of </w:t>
      </w:r>
      <w:r w:rsidR="000578F2">
        <w:rPr>
          <w:rFonts w:ascii="Verdana" w:hAnsi="Verdana"/>
          <w:sz w:val="20"/>
          <w:szCs w:val="22"/>
          <w:lang w:eastAsia="en-GB"/>
        </w:rPr>
        <w:t>MCCPs</w:t>
      </w:r>
      <w:r w:rsidR="00F22A23">
        <w:rPr>
          <w:rFonts w:ascii="Verdana" w:hAnsi="Verdana"/>
          <w:sz w:val="20"/>
          <w:szCs w:val="22"/>
          <w:lang w:eastAsia="en-GB"/>
        </w:rPr>
        <w:t xml:space="preserve"> (&lt;2.5</w:t>
      </w:r>
      <w:r w:rsidR="009A50EF">
        <w:rPr>
          <w:rFonts w:ascii="Verdana" w:hAnsi="Verdana"/>
          <w:sz w:val="20"/>
          <w:szCs w:val="22"/>
          <w:lang w:eastAsia="en-GB"/>
        </w:rPr>
        <w:t>%</w:t>
      </w:r>
      <w:r w:rsidR="00F22A23">
        <w:rPr>
          <w:rFonts w:ascii="Verdana" w:hAnsi="Verdana"/>
          <w:sz w:val="20"/>
          <w:szCs w:val="22"/>
          <w:lang w:eastAsia="en-GB"/>
        </w:rPr>
        <w:t xml:space="preserve"> w/w) are not intentionally produced, and the UK CA </w:t>
      </w:r>
      <w:r w:rsidR="00F22A23" w:rsidRPr="00822543">
        <w:rPr>
          <w:rFonts w:ascii="Verdana" w:hAnsi="Verdana"/>
          <w:sz w:val="20"/>
          <w:szCs w:val="22"/>
          <w:lang w:eastAsia="en-GB"/>
        </w:rPr>
        <w:t>considers it a low priority to update the harmonized classification</w:t>
      </w:r>
      <w:r w:rsidR="00F22A23">
        <w:rPr>
          <w:rFonts w:ascii="Verdana" w:hAnsi="Verdana"/>
          <w:sz w:val="20"/>
          <w:szCs w:val="22"/>
          <w:lang w:eastAsia="en-GB"/>
        </w:rPr>
        <w:t xml:space="preserve"> to include M-factors</w:t>
      </w:r>
      <w:r w:rsidR="00F22A23" w:rsidRPr="00822543">
        <w:rPr>
          <w:rFonts w:ascii="Verdana" w:hAnsi="Verdana"/>
          <w:sz w:val="20"/>
          <w:szCs w:val="22"/>
          <w:lang w:eastAsia="en-GB"/>
        </w:rPr>
        <w:t xml:space="preserve"> given the conclusion on PBT properties.</w:t>
      </w:r>
    </w:p>
    <w:p w14:paraId="39B96A7A" w14:textId="77777777" w:rsidR="00867E74" w:rsidRPr="00793703" w:rsidRDefault="00867E74" w:rsidP="00867E74">
      <w:pPr>
        <w:pStyle w:val="Heading3"/>
      </w:pPr>
      <w:bookmarkStart w:id="21" w:name="_Toc387770106"/>
      <w:r w:rsidRPr="00793703">
        <w:t>CLP Notification Status</w:t>
      </w:r>
      <w:bookmarkEnd w:id="21"/>
    </w:p>
    <w:p w14:paraId="39B96A7D" w14:textId="18F06D12" w:rsidR="00867E74" w:rsidRPr="007D2EEF" w:rsidRDefault="00F07BA6" w:rsidP="00F07BA6">
      <w:pPr>
        <w:pStyle w:val="Caption"/>
        <w:rPr>
          <w:rFonts w:ascii="Verdana" w:hAnsi="Verdana"/>
          <w:b/>
          <w:sz w:val="20"/>
        </w:rPr>
      </w:pPr>
      <w:r w:rsidRPr="00F07BA6">
        <w:rPr>
          <w:rFonts w:ascii="Verdana" w:hAnsi="Verdana"/>
          <w:b/>
          <w:sz w:val="20"/>
        </w:rPr>
        <w:t xml:space="preserve">Table </w:t>
      </w:r>
      <w:r w:rsidRPr="00F07BA6">
        <w:rPr>
          <w:rFonts w:ascii="Verdana" w:hAnsi="Verdana"/>
          <w:b/>
          <w:sz w:val="20"/>
        </w:rPr>
        <w:fldChar w:fldCharType="begin"/>
      </w:r>
      <w:r w:rsidRPr="00F07BA6">
        <w:rPr>
          <w:rFonts w:ascii="Verdana" w:hAnsi="Verdana"/>
          <w:b/>
          <w:sz w:val="20"/>
        </w:rPr>
        <w:instrText xml:space="preserve"> SEQ Table \* ARABIC </w:instrText>
      </w:r>
      <w:r w:rsidRPr="00F07BA6">
        <w:rPr>
          <w:rFonts w:ascii="Verdana" w:hAnsi="Verdana"/>
          <w:b/>
          <w:sz w:val="20"/>
        </w:rPr>
        <w:fldChar w:fldCharType="separate"/>
      </w:r>
      <w:r w:rsidR="005C355A">
        <w:rPr>
          <w:rFonts w:ascii="Verdana" w:hAnsi="Verdana"/>
          <w:b/>
          <w:noProof/>
          <w:sz w:val="20"/>
        </w:rPr>
        <w:t>5</w:t>
      </w:r>
      <w:r w:rsidRPr="00F07BA6">
        <w:rPr>
          <w:rFonts w:ascii="Verdana" w:hAnsi="Verdana"/>
          <w:b/>
          <w:sz w:val="20"/>
        </w:rPr>
        <w:fldChar w:fldCharType="end"/>
      </w:r>
      <w:r w:rsidR="00867E74" w:rsidRPr="007D2EEF">
        <w:rPr>
          <w:rFonts w:ascii="Verdana" w:hAnsi="Verdana"/>
          <w:b/>
          <w:sz w:val="20"/>
        </w:rPr>
        <w:t>: CLP Notifications</w:t>
      </w:r>
    </w:p>
    <w:tbl>
      <w:tblPr>
        <w:tblW w:w="4937" w:type="pct"/>
        <w:jc w:val="center"/>
        <w:tblLayout w:type="fixed"/>
        <w:tblLook w:val="0000" w:firstRow="0" w:lastRow="0" w:firstColumn="0" w:lastColumn="0" w:noHBand="0" w:noVBand="0"/>
      </w:tblPr>
      <w:tblGrid>
        <w:gridCol w:w="5741"/>
        <w:gridCol w:w="2458"/>
      </w:tblGrid>
      <w:tr w:rsidR="00867E74" w:rsidRPr="00793703" w14:paraId="39B96A80" w14:textId="77777777" w:rsidTr="003D15D1">
        <w:trPr>
          <w:cantSplit/>
          <w:trHeight w:val="98"/>
          <w:jc w:val="center"/>
        </w:trPr>
        <w:tc>
          <w:tcPr>
            <w:tcW w:w="3501" w:type="pct"/>
            <w:tcBorders>
              <w:top w:val="single" w:sz="2" w:space="0" w:color="auto"/>
              <w:left w:val="single" w:sz="4" w:space="0" w:color="auto"/>
              <w:bottom w:val="single" w:sz="4" w:space="0" w:color="auto"/>
              <w:right w:val="single" w:sz="4" w:space="0" w:color="auto"/>
            </w:tcBorders>
          </w:tcPr>
          <w:p w14:paraId="39B96A7E" w14:textId="77777777" w:rsidR="00867E74" w:rsidRPr="00793703" w:rsidRDefault="00867E74" w:rsidP="003D15D1">
            <w:pPr>
              <w:spacing w:before="60" w:after="60"/>
              <w:jc w:val="center"/>
              <w:rPr>
                <w:rFonts w:ascii="Verdana" w:hAnsi="Verdana"/>
                <w:b/>
                <w:sz w:val="20"/>
                <w:szCs w:val="20"/>
              </w:rPr>
            </w:pPr>
          </w:p>
        </w:tc>
        <w:tc>
          <w:tcPr>
            <w:tcW w:w="1499" w:type="pct"/>
            <w:tcBorders>
              <w:top w:val="single" w:sz="2" w:space="0" w:color="auto"/>
              <w:left w:val="single" w:sz="4" w:space="0" w:color="auto"/>
              <w:bottom w:val="single" w:sz="4" w:space="0" w:color="auto"/>
              <w:right w:val="single" w:sz="2" w:space="0" w:color="auto"/>
            </w:tcBorders>
          </w:tcPr>
          <w:p w14:paraId="39B96A7F" w14:textId="77777777" w:rsidR="00867E74" w:rsidRPr="00793703" w:rsidRDefault="00867E74" w:rsidP="003D15D1">
            <w:pPr>
              <w:spacing w:before="60" w:after="60"/>
              <w:jc w:val="center"/>
              <w:rPr>
                <w:rFonts w:ascii="Verdana" w:hAnsi="Verdana"/>
                <w:b/>
                <w:sz w:val="20"/>
                <w:szCs w:val="20"/>
              </w:rPr>
            </w:pPr>
            <w:r w:rsidRPr="00793703">
              <w:rPr>
                <w:rFonts w:ascii="Verdana" w:hAnsi="Verdana"/>
                <w:b/>
                <w:sz w:val="20"/>
                <w:szCs w:val="20"/>
              </w:rPr>
              <w:t>CLP Notifications</w:t>
            </w:r>
            <w:r w:rsidR="00E87AB8" w:rsidRPr="00FA015A">
              <w:rPr>
                <w:rStyle w:val="FootnoteReference"/>
                <w:rFonts w:ascii="Verdana" w:hAnsi="Verdana"/>
                <w:b/>
                <w:sz w:val="20"/>
                <w:szCs w:val="20"/>
              </w:rPr>
              <w:footnoteReference w:id="3"/>
            </w:r>
          </w:p>
        </w:tc>
      </w:tr>
      <w:tr w:rsidR="00867E74" w:rsidRPr="00793703" w14:paraId="39B96A83" w14:textId="77777777" w:rsidTr="003D15D1">
        <w:trPr>
          <w:cantSplit/>
          <w:trHeight w:val="168"/>
          <w:jc w:val="center"/>
        </w:trPr>
        <w:tc>
          <w:tcPr>
            <w:tcW w:w="3501" w:type="pct"/>
            <w:tcBorders>
              <w:top w:val="single" w:sz="2" w:space="0" w:color="auto"/>
              <w:left w:val="single" w:sz="4" w:space="0" w:color="auto"/>
              <w:bottom w:val="single" w:sz="2" w:space="0" w:color="auto"/>
              <w:right w:val="single" w:sz="4" w:space="0" w:color="auto"/>
            </w:tcBorders>
          </w:tcPr>
          <w:p w14:paraId="39B96A81" w14:textId="77777777" w:rsidR="00867E74" w:rsidRPr="00793703" w:rsidRDefault="00867E74" w:rsidP="003D15D1">
            <w:pPr>
              <w:spacing w:before="60" w:after="60"/>
              <w:ind w:right="-108"/>
              <w:rPr>
                <w:rFonts w:ascii="Verdana" w:hAnsi="Verdana"/>
                <w:sz w:val="20"/>
                <w:szCs w:val="20"/>
              </w:rPr>
            </w:pPr>
            <w:r w:rsidRPr="00793703">
              <w:rPr>
                <w:rFonts w:ascii="Verdana" w:hAnsi="Verdana"/>
                <w:sz w:val="20"/>
                <w:szCs w:val="20"/>
              </w:rPr>
              <w:t>Number of aggregated notifications</w:t>
            </w:r>
          </w:p>
        </w:tc>
        <w:tc>
          <w:tcPr>
            <w:tcW w:w="1499" w:type="pct"/>
            <w:tcBorders>
              <w:top w:val="single" w:sz="2" w:space="0" w:color="auto"/>
              <w:left w:val="single" w:sz="4" w:space="0" w:color="auto"/>
              <w:bottom w:val="single" w:sz="2" w:space="0" w:color="auto"/>
              <w:right w:val="single" w:sz="2" w:space="0" w:color="auto"/>
            </w:tcBorders>
          </w:tcPr>
          <w:p w14:paraId="39B96A82" w14:textId="1C70198F" w:rsidR="00867E74" w:rsidRPr="00793703" w:rsidRDefault="00A67D4E" w:rsidP="003D15D1">
            <w:pPr>
              <w:spacing w:before="60" w:after="60"/>
              <w:jc w:val="center"/>
              <w:rPr>
                <w:rFonts w:ascii="Verdana" w:hAnsi="Verdana"/>
                <w:sz w:val="20"/>
                <w:szCs w:val="20"/>
              </w:rPr>
            </w:pPr>
            <w:r>
              <w:rPr>
                <w:rFonts w:ascii="Verdana" w:hAnsi="Verdana"/>
                <w:sz w:val="20"/>
                <w:szCs w:val="20"/>
              </w:rPr>
              <w:t>11</w:t>
            </w:r>
          </w:p>
        </w:tc>
      </w:tr>
      <w:tr w:rsidR="00867E74" w:rsidRPr="00954FB8" w14:paraId="39B96A86" w14:textId="77777777" w:rsidTr="003D15D1">
        <w:trPr>
          <w:cantSplit/>
          <w:trHeight w:val="168"/>
          <w:jc w:val="center"/>
        </w:trPr>
        <w:tc>
          <w:tcPr>
            <w:tcW w:w="3501" w:type="pct"/>
            <w:tcBorders>
              <w:top w:val="single" w:sz="2" w:space="0" w:color="auto"/>
              <w:left w:val="single" w:sz="4" w:space="0" w:color="auto"/>
              <w:bottom w:val="single" w:sz="2" w:space="0" w:color="auto"/>
              <w:right w:val="single" w:sz="4" w:space="0" w:color="auto"/>
            </w:tcBorders>
          </w:tcPr>
          <w:p w14:paraId="39B96A84" w14:textId="77777777" w:rsidR="00867E74" w:rsidRPr="00954FB8" w:rsidRDefault="00867E74" w:rsidP="003D15D1">
            <w:pPr>
              <w:spacing w:before="60" w:after="60"/>
              <w:ind w:right="-108"/>
              <w:rPr>
                <w:color w:val="000000"/>
                <w:sz w:val="20"/>
                <w:szCs w:val="20"/>
              </w:rPr>
            </w:pPr>
            <w:r w:rsidRPr="00793703">
              <w:rPr>
                <w:rFonts w:ascii="Verdana" w:hAnsi="Verdana"/>
                <w:sz w:val="20"/>
                <w:szCs w:val="20"/>
              </w:rPr>
              <w:t xml:space="preserve">Total number of </w:t>
            </w:r>
            <w:proofErr w:type="spellStart"/>
            <w:r w:rsidRPr="00793703">
              <w:rPr>
                <w:rFonts w:ascii="Verdana" w:hAnsi="Verdana"/>
                <w:sz w:val="20"/>
                <w:szCs w:val="20"/>
              </w:rPr>
              <w:t>notifiers</w:t>
            </w:r>
            <w:proofErr w:type="spellEnd"/>
            <w:r w:rsidRPr="00954FB8">
              <w:rPr>
                <w:rFonts w:ascii="Verdana" w:hAnsi="Verdana"/>
                <w:sz w:val="20"/>
                <w:szCs w:val="20"/>
              </w:rPr>
              <w:t xml:space="preserve"> </w:t>
            </w:r>
          </w:p>
        </w:tc>
        <w:tc>
          <w:tcPr>
            <w:tcW w:w="1499" w:type="pct"/>
            <w:tcBorders>
              <w:top w:val="single" w:sz="2" w:space="0" w:color="auto"/>
              <w:left w:val="single" w:sz="4" w:space="0" w:color="auto"/>
              <w:bottom w:val="single" w:sz="2" w:space="0" w:color="auto"/>
              <w:right w:val="single" w:sz="2" w:space="0" w:color="auto"/>
            </w:tcBorders>
          </w:tcPr>
          <w:p w14:paraId="39B96A85" w14:textId="1391438A" w:rsidR="00867E74" w:rsidRPr="00954FB8" w:rsidRDefault="00A67D4E" w:rsidP="003D15D1">
            <w:pPr>
              <w:spacing w:before="60" w:after="60"/>
              <w:jc w:val="center"/>
              <w:rPr>
                <w:rFonts w:ascii="Verdana" w:hAnsi="Verdana"/>
                <w:sz w:val="20"/>
                <w:szCs w:val="20"/>
              </w:rPr>
            </w:pPr>
            <w:r>
              <w:rPr>
                <w:rFonts w:ascii="Verdana" w:hAnsi="Verdana"/>
                <w:sz w:val="20"/>
                <w:szCs w:val="20"/>
              </w:rPr>
              <w:t>378</w:t>
            </w:r>
          </w:p>
        </w:tc>
      </w:tr>
    </w:tbl>
    <w:p w14:paraId="06EA610B" w14:textId="77777777" w:rsidR="00A67D4E" w:rsidRDefault="00A67D4E" w:rsidP="00A67D4E">
      <w:pPr>
        <w:spacing w:after="0"/>
        <w:ind w:right="-477"/>
        <w:rPr>
          <w:rFonts w:ascii="Verdana" w:hAnsi="Verdana"/>
          <w:i/>
          <w:sz w:val="20"/>
          <w:szCs w:val="20"/>
        </w:rPr>
      </w:pPr>
    </w:p>
    <w:p w14:paraId="39B96A88" w14:textId="29D25C8A" w:rsidR="0028797B" w:rsidRDefault="00A67D4E" w:rsidP="00F22A23">
      <w:pPr>
        <w:jc w:val="both"/>
        <w:rPr>
          <w:rFonts w:ascii="Verdana" w:hAnsi="Verdana"/>
          <w:sz w:val="20"/>
          <w:szCs w:val="20"/>
          <w:lang w:val="en-GB"/>
        </w:rPr>
      </w:pPr>
      <w:r w:rsidRPr="00A67D4E">
        <w:rPr>
          <w:rFonts w:ascii="Verdana" w:hAnsi="Verdana"/>
          <w:sz w:val="20"/>
          <w:szCs w:val="20"/>
          <w:lang w:val="en-GB"/>
        </w:rPr>
        <w:t xml:space="preserve">From the total of 378 </w:t>
      </w:r>
      <w:proofErr w:type="spellStart"/>
      <w:r w:rsidRPr="00A67D4E">
        <w:rPr>
          <w:rFonts w:ascii="Verdana" w:hAnsi="Verdana"/>
          <w:sz w:val="20"/>
          <w:szCs w:val="20"/>
          <w:lang w:val="en-GB"/>
        </w:rPr>
        <w:t>notifiers</w:t>
      </w:r>
      <w:proofErr w:type="spellEnd"/>
      <w:r w:rsidRPr="00A67D4E">
        <w:rPr>
          <w:rFonts w:ascii="Verdana" w:hAnsi="Verdana"/>
          <w:sz w:val="20"/>
          <w:szCs w:val="20"/>
          <w:lang w:val="en-GB"/>
        </w:rPr>
        <w:t xml:space="preserve">, 342 </w:t>
      </w:r>
      <w:proofErr w:type="spellStart"/>
      <w:r w:rsidRPr="00A67D4E">
        <w:rPr>
          <w:rFonts w:ascii="Verdana" w:hAnsi="Verdana"/>
          <w:sz w:val="20"/>
          <w:szCs w:val="20"/>
          <w:lang w:val="en-GB"/>
        </w:rPr>
        <w:t>notifiers</w:t>
      </w:r>
      <w:proofErr w:type="spellEnd"/>
      <w:r w:rsidRPr="00A67D4E">
        <w:rPr>
          <w:rFonts w:ascii="Verdana" w:hAnsi="Verdana"/>
          <w:sz w:val="20"/>
          <w:szCs w:val="20"/>
          <w:lang w:val="en-GB"/>
        </w:rPr>
        <w:t xml:space="preserve"> self-classify </w:t>
      </w:r>
      <w:r w:rsidR="000578F2">
        <w:rPr>
          <w:rFonts w:ascii="Verdana" w:hAnsi="Verdana"/>
          <w:sz w:val="20"/>
          <w:szCs w:val="20"/>
          <w:lang w:val="en-GB"/>
        </w:rPr>
        <w:t>MCCPs</w:t>
      </w:r>
      <w:r w:rsidRPr="00A67D4E">
        <w:rPr>
          <w:rFonts w:ascii="Verdana" w:hAnsi="Verdana"/>
          <w:sz w:val="20"/>
          <w:szCs w:val="20"/>
          <w:lang w:val="en-GB"/>
        </w:rPr>
        <w:t xml:space="preserve"> as both Aquatic Acute 1 and Aquatic Chronic 1</w:t>
      </w:r>
      <w:r w:rsidR="00F22A23">
        <w:rPr>
          <w:rFonts w:ascii="Verdana" w:hAnsi="Verdana"/>
          <w:sz w:val="20"/>
          <w:szCs w:val="20"/>
          <w:lang w:val="en-GB"/>
        </w:rPr>
        <w:t>. T</w:t>
      </w:r>
      <w:r w:rsidRPr="00A67D4E">
        <w:rPr>
          <w:rFonts w:ascii="Verdana" w:hAnsi="Verdana"/>
          <w:sz w:val="20"/>
          <w:szCs w:val="20"/>
          <w:lang w:val="en-GB"/>
        </w:rPr>
        <w:t>en self-classify the substance as Aquatic Acute 1</w:t>
      </w:r>
      <w:r w:rsidR="00F22A23">
        <w:rPr>
          <w:rFonts w:ascii="Verdana" w:hAnsi="Verdana"/>
          <w:sz w:val="20"/>
          <w:szCs w:val="20"/>
          <w:lang w:val="en-GB"/>
        </w:rPr>
        <w:t xml:space="preserve"> only</w:t>
      </w:r>
      <w:r w:rsidRPr="00A67D4E">
        <w:rPr>
          <w:rFonts w:ascii="Verdana" w:hAnsi="Verdana"/>
          <w:sz w:val="20"/>
          <w:szCs w:val="20"/>
          <w:lang w:val="en-GB"/>
        </w:rPr>
        <w:t xml:space="preserve"> and one self-classifies </w:t>
      </w:r>
      <w:r w:rsidR="00F22A23">
        <w:rPr>
          <w:rFonts w:ascii="Verdana" w:hAnsi="Verdana"/>
          <w:sz w:val="20"/>
          <w:szCs w:val="20"/>
          <w:lang w:val="en-GB"/>
        </w:rPr>
        <w:t>it</w:t>
      </w:r>
      <w:r w:rsidRPr="00A67D4E">
        <w:rPr>
          <w:rFonts w:ascii="Verdana" w:hAnsi="Verdana"/>
          <w:sz w:val="20"/>
          <w:szCs w:val="20"/>
          <w:lang w:val="en-GB"/>
        </w:rPr>
        <w:t xml:space="preserve"> as Aquatic Chronic 1</w:t>
      </w:r>
      <w:r w:rsidR="00F22A23">
        <w:rPr>
          <w:rFonts w:ascii="Verdana" w:hAnsi="Verdana"/>
          <w:sz w:val="20"/>
          <w:szCs w:val="20"/>
          <w:lang w:val="en-GB"/>
        </w:rPr>
        <w:t xml:space="preserve"> only (contradicting the harmonised classification)</w:t>
      </w:r>
      <w:r w:rsidRPr="00A67D4E">
        <w:rPr>
          <w:rFonts w:ascii="Verdana" w:hAnsi="Verdana"/>
          <w:sz w:val="20"/>
          <w:szCs w:val="20"/>
          <w:lang w:val="en-GB"/>
        </w:rPr>
        <w:t>.</w:t>
      </w:r>
    </w:p>
    <w:p w14:paraId="3A9BD295" w14:textId="77777777" w:rsidR="00A67D4E" w:rsidRDefault="00A67D4E" w:rsidP="00D23F3C">
      <w:pPr>
        <w:spacing w:after="0"/>
        <w:ind w:left="426" w:right="-477"/>
        <w:rPr>
          <w:rFonts w:ascii="Verdana" w:hAnsi="Verdana"/>
          <w:sz w:val="20"/>
          <w:szCs w:val="20"/>
          <w:lang w:val="en-GB"/>
        </w:rPr>
      </w:pPr>
    </w:p>
    <w:p w14:paraId="39B96A89" w14:textId="77777777" w:rsidR="001A4BCD" w:rsidRPr="00154C39" w:rsidRDefault="001A4BCD" w:rsidP="001A4BCD">
      <w:pPr>
        <w:pStyle w:val="Heading2"/>
        <w:tabs>
          <w:tab w:val="clear" w:pos="839"/>
          <w:tab w:val="num" w:pos="540"/>
        </w:tabs>
        <w:spacing w:before="240"/>
        <w:ind w:left="540" w:hanging="540"/>
        <w:rPr>
          <w:szCs w:val="24"/>
        </w:rPr>
      </w:pPr>
      <w:r w:rsidRPr="00154C39">
        <w:rPr>
          <w:szCs w:val="24"/>
        </w:rPr>
        <w:t>Additional hazard information</w:t>
      </w:r>
    </w:p>
    <w:p w14:paraId="355D4F6C" w14:textId="0AF87486" w:rsidR="00150B1C" w:rsidRDefault="00233053" w:rsidP="004746C9">
      <w:pPr>
        <w:jc w:val="both"/>
        <w:rPr>
          <w:rFonts w:ascii="Verdana" w:hAnsi="Verdana"/>
          <w:sz w:val="20"/>
          <w:szCs w:val="20"/>
        </w:rPr>
      </w:pPr>
      <w:r>
        <w:rPr>
          <w:rFonts w:ascii="Verdana" w:hAnsi="Verdana"/>
          <w:sz w:val="20"/>
          <w:szCs w:val="20"/>
        </w:rPr>
        <w:t xml:space="preserve">Based on new data </w:t>
      </w:r>
      <w:r w:rsidRPr="001C43CF">
        <w:rPr>
          <w:rFonts w:ascii="Verdana" w:hAnsi="Verdana"/>
          <w:sz w:val="20"/>
          <w:szCs w:val="20"/>
        </w:rPr>
        <w:t xml:space="preserve">submitted in response to the Substance Evaluation decision, </w:t>
      </w:r>
      <w:r w:rsidR="00150B1C">
        <w:rPr>
          <w:rFonts w:ascii="Verdana" w:hAnsi="Verdana"/>
          <w:sz w:val="20"/>
          <w:szCs w:val="20"/>
        </w:rPr>
        <w:t>the UK CA considers that</w:t>
      </w:r>
      <w:r w:rsidR="00150B1C" w:rsidRPr="004746C9">
        <w:rPr>
          <w:rFonts w:ascii="Verdana" w:hAnsi="Verdana"/>
          <w:sz w:val="20"/>
          <w:szCs w:val="20"/>
        </w:rPr>
        <w:t xml:space="preserve"> </w:t>
      </w:r>
      <w:r w:rsidR="002D1202">
        <w:rPr>
          <w:rFonts w:ascii="Verdana" w:hAnsi="Verdana"/>
          <w:sz w:val="20"/>
          <w:szCs w:val="20"/>
        </w:rPr>
        <w:t xml:space="preserve">MCCPs </w:t>
      </w:r>
      <w:r w:rsidR="00665807">
        <w:rPr>
          <w:rFonts w:ascii="Verdana" w:hAnsi="Verdana"/>
          <w:sz w:val="20"/>
          <w:szCs w:val="20"/>
        </w:rPr>
        <w:t xml:space="preserve">contain constituents that meet the Annex XIII </w:t>
      </w:r>
      <w:r w:rsidR="002D1202">
        <w:rPr>
          <w:rFonts w:ascii="Verdana" w:hAnsi="Verdana"/>
          <w:sz w:val="20"/>
          <w:szCs w:val="20"/>
        </w:rPr>
        <w:t>PBT</w:t>
      </w:r>
      <w:r w:rsidR="00665807">
        <w:rPr>
          <w:rFonts w:ascii="Verdana" w:hAnsi="Verdana"/>
          <w:sz w:val="20"/>
          <w:szCs w:val="20"/>
        </w:rPr>
        <w:t xml:space="preserve"> criteria</w:t>
      </w:r>
      <w:r w:rsidR="002D1202">
        <w:rPr>
          <w:rFonts w:ascii="Verdana" w:hAnsi="Verdana"/>
          <w:sz w:val="20"/>
          <w:szCs w:val="20"/>
        </w:rPr>
        <w:t xml:space="preserve">, with some </w:t>
      </w:r>
      <w:proofErr w:type="gramStart"/>
      <w:r w:rsidR="002D1202">
        <w:rPr>
          <w:rFonts w:ascii="Verdana" w:hAnsi="Verdana"/>
          <w:sz w:val="20"/>
          <w:szCs w:val="20"/>
        </w:rPr>
        <w:t>constituents</w:t>
      </w:r>
      <w:proofErr w:type="gramEnd"/>
      <w:r w:rsidR="002D1202">
        <w:rPr>
          <w:rFonts w:ascii="Verdana" w:hAnsi="Verdana"/>
          <w:sz w:val="20"/>
          <w:szCs w:val="20"/>
        </w:rPr>
        <w:t xml:space="preserve"> vPvB. </w:t>
      </w:r>
    </w:p>
    <w:p w14:paraId="6BF84B9B" w14:textId="5BE60BAE" w:rsidR="00C4347A" w:rsidRDefault="00C4347A" w:rsidP="004746C9">
      <w:pPr>
        <w:jc w:val="both"/>
        <w:rPr>
          <w:rFonts w:ascii="Verdana" w:hAnsi="Verdana"/>
          <w:sz w:val="20"/>
          <w:szCs w:val="20"/>
        </w:rPr>
      </w:pPr>
      <w:r>
        <w:rPr>
          <w:rFonts w:ascii="Verdana" w:hAnsi="Verdana"/>
          <w:sz w:val="20"/>
          <w:szCs w:val="20"/>
        </w:rPr>
        <w:t>These findings were examined by the PBT Expert Group at its 22</w:t>
      </w:r>
      <w:r w:rsidRPr="00233053">
        <w:rPr>
          <w:rFonts w:ascii="Verdana" w:hAnsi="Verdana"/>
          <w:sz w:val="20"/>
          <w:szCs w:val="20"/>
          <w:vertAlign w:val="superscript"/>
        </w:rPr>
        <w:t>nd</w:t>
      </w:r>
      <w:r>
        <w:rPr>
          <w:rFonts w:ascii="Verdana" w:hAnsi="Verdana"/>
          <w:sz w:val="20"/>
          <w:szCs w:val="20"/>
        </w:rPr>
        <w:t xml:space="preserve"> meeting in September 2019, and </w:t>
      </w:r>
      <w:r>
        <w:rPr>
          <w:rFonts w:ascii="Verdana" w:hAnsi="Verdana"/>
          <w:color w:val="000000"/>
          <w:sz w:val="20"/>
          <w:szCs w:val="20"/>
        </w:rPr>
        <w:t>there was general support for the PBT conclusion</w:t>
      </w:r>
      <w:r>
        <w:rPr>
          <w:rFonts w:ascii="Verdana" w:hAnsi="Verdana"/>
          <w:sz w:val="20"/>
          <w:szCs w:val="20"/>
        </w:rPr>
        <w:t>.</w:t>
      </w:r>
    </w:p>
    <w:p w14:paraId="39B96A95" w14:textId="3088C05F" w:rsidR="0028797B" w:rsidRDefault="00C4347A" w:rsidP="004746C9">
      <w:pPr>
        <w:jc w:val="both"/>
        <w:rPr>
          <w:rFonts w:ascii="Verdana" w:hAnsi="Verdana"/>
          <w:sz w:val="20"/>
          <w:szCs w:val="20"/>
          <w:lang w:val="en-GB"/>
        </w:rPr>
      </w:pPr>
      <w:r>
        <w:rPr>
          <w:rFonts w:ascii="Verdana" w:hAnsi="Verdana"/>
          <w:sz w:val="20"/>
          <w:szCs w:val="20"/>
        </w:rPr>
        <w:t>T</w:t>
      </w:r>
      <w:r w:rsidR="004746C9" w:rsidRPr="004746C9">
        <w:rPr>
          <w:rFonts w:ascii="Verdana" w:hAnsi="Verdana"/>
          <w:sz w:val="20"/>
          <w:szCs w:val="20"/>
        </w:rPr>
        <w:t xml:space="preserve">he registered substance </w:t>
      </w:r>
      <w:r w:rsidR="009969C3">
        <w:rPr>
          <w:rFonts w:ascii="Verdana" w:hAnsi="Verdana"/>
          <w:sz w:val="20"/>
          <w:szCs w:val="20"/>
        </w:rPr>
        <w:t xml:space="preserve">also </w:t>
      </w:r>
      <w:r w:rsidR="004746C9" w:rsidRPr="004746C9">
        <w:rPr>
          <w:rFonts w:ascii="Verdana" w:hAnsi="Verdana"/>
          <w:sz w:val="20"/>
          <w:szCs w:val="20"/>
        </w:rPr>
        <w:t xml:space="preserve">contains </w:t>
      </w:r>
      <w:r w:rsidR="00583667">
        <w:rPr>
          <w:rFonts w:ascii="Verdana" w:hAnsi="Verdana"/>
          <w:sz w:val="20"/>
          <w:szCs w:val="20"/>
        </w:rPr>
        <w:t xml:space="preserve">constituents </w:t>
      </w:r>
      <w:r>
        <w:rPr>
          <w:rFonts w:ascii="Verdana" w:hAnsi="Verdana"/>
          <w:sz w:val="20"/>
          <w:szCs w:val="20"/>
        </w:rPr>
        <w:t xml:space="preserve">in the </w:t>
      </w:r>
      <w:r w:rsidRPr="004746C9">
        <w:rPr>
          <w:rFonts w:ascii="Verdana" w:hAnsi="Verdana"/>
          <w:sz w:val="20"/>
          <w:szCs w:val="20"/>
        </w:rPr>
        <w:t>C</w:t>
      </w:r>
      <w:r w:rsidRPr="004746C9">
        <w:rPr>
          <w:rFonts w:ascii="Verdana" w:hAnsi="Verdana"/>
          <w:sz w:val="20"/>
          <w:szCs w:val="20"/>
          <w:vertAlign w:val="subscript"/>
        </w:rPr>
        <w:t>10-13</w:t>
      </w:r>
      <w:r>
        <w:rPr>
          <w:rFonts w:ascii="Verdana" w:hAnsi="Verdana"/>
          <w:sz w:val="20"/>
          <w:szCs w:val="20"/>
        </w:rPr>
        <w:t xml:space="preserve"> range </w:t>
      </w:r>
      <w:r w:rsidR="004746C9" w:rsidRPr="004746C9">
        <w:rPr>
          <w:rFonts w:ascii="Verdana" w:hAnsi="Verdana"/>
          <w:sz w:val="20"/>
          <w:szCs w:val="20"/>
        </w:rPr>
        <w:t>that are structural analogues of alkanes, C</w:t>
      </w:r>
      <w:r w:rsidR="004746C9" w:rsidRPr="004746C9">
        <w:rPr>
          <w:rFonts w:ascii="Verdana" w:hAnsi="Verdana"/>
          <w:sz w:val="20"/>
          <w:szCs w:val="20"/>
          <w:vertAlign w:val="subscript"/>
        </w:rPr>
        <w:t>10-13</w:t>
      </w:r>
      <w:r w:rsidR="004746C9" w:rsidRPr="004746C9">
        <w:rPr>
          <w:rFonts w:ascii="Verdana" w:hAnsi="Verdana"/>
          <w:sz w:val="20"/>
          <w:szCs w:val="20"/>
        </w:rPr>
        <w:t>, chloro (</w:t>
      </w:r>
      <w:r w:rsidR="003A6F22">
        <w:rPr>
          <w:rFonts w:ascii="Verdana" w:hAnsi="Verdana"/>
          <w:sz w:val="20"/>
          <w:szCs w:val="20"/>
        </w:rPr>
        <w:t>SCCPs</w:t>
      </w:r>
      <w:r w:rsidR="004746C9" w:rsidRPr="004746C9">
        <w:rPr>
          <w:rFonts w:ascii="Verdana" w:hAnsi="Verdana"/>
          <w:sz w:val="20"/>
          <w:szCs w:val="20"/>
        </w:rPr>
        <w:t xml:space="preserve">). These </w:t>
      </w:r>
      <w:r w:rsidR="00150B1C" w:rsidRPr="004746C9">
        <w:rPr>
          <w:rFonts w:ascii="Verdana" w:hAnsi="Verdana"/>
          <w:sz w:val="20"/>
          <w:szCs w:val="20"/>
        </w:rPr>
        <w:t xml:space="preserve">are unintentional </w:t>
      </w:r>
      <w:r w:rsidR="00583667">
        <w:rPr>
          <w:rFonts w:ascii="Verdana" w:hAnsi="Verdana"/>
          <w:sz w:val="20"/>
          <w:szCs w:val="20"/>
        </w:rPr>
        <w:t xml:space="preserve">constituents </w:t>
      </w:r>
      <w:r w:rsidR="004746C9" w:rsidRPr="004746C9">
        <w:rPr>
          <w:rFonts w:ascii="Verdana" w:hAnsi="Verdana"/>
          <w:sz w:val="20"/>
          <w:szCs w:val="20"/>
        </w:rPr>
        <w:t xml:space="preserve">present </w:t>
      </w:r>
      <w:r>
        <w:rPr>
          <w:rFonts w:ascii="Verdana" w:hAnsi="Verdana"/>
          <w:sz w:val="20"/>
          <w:szCs w:val="20"/>
        </w:rPr>
        <w:t xml:space="preserve">at </w:t>
      </w:r>
      <w:r w:rsidR="004746C9" w:rsidRPr="004746C9">
        <w:rPr>
          <w:rFonts w:ascii="Verdana" w:hAnsi="Verdana"/>
          <w:sz w:val="20"/>
          <w:szCs w:val="20"/>
        </w:rPr>
        <w:t>up to 1</w:t>
      </w:r>
      <w:r w:rsidR="009A50EF">
        <w:rPr>
          <w:rFonts w:ascii="Verdana" w:hAnsi="Verdana"/>
          <w:sz w:val="20"/>
          <w:szCs w:val="20"/>
        </w:rPr>
        <w:t>%</w:t>
      </w:r>
      <w:r w:rsidR="004746C9" w:rsidRPr="004746C9">
        <w:rPr>
          <w:rFonts w:ascii="Verdana" w:hAnsi="Verdana"/>
          <w:sz w:val="20"/>
          <w:szCs w:val="20"/>
        </w:rPr>
        <w:t xml:space="preserve"> w/w. The</w:t>
      </w:r>
      <w:r w:rsidR="00150B1C">
        <w:rPr>
          <w:rFonts w:ascii="Verdana" w:hAnsi="Verdana"/>
          <w:sz w:val="20"/>
          <w:szCs w:val="20"/>
        </w:rPr>
        <w:t>y</w:t>
      </w:r>
      <w:r w:rsidR="004746C9" w:rsidRPr="004746C9">
        <w:rPr>
          <w:rFonts w:ascii="Verdana" w:hAnsi="Verdana"/>
          <w:sz w:val="20"/>
          <w:szCs w:val="20"/>
        </w:rPr>
        <w:t xml:space="preserve"> are likely to have the same properties as </w:t>
      </w:r>
      <w:r w:rsidR="003A6F22">
        <w:rPr>
          <w:rFonts w:ascii="Verdana" w:hAnsi="Verdana"/>
          <w:sz w:val="20"/>
          <w:szCs w:val="20"/>
        </w:rPr>
        <w:t>SCCPs</w:t>
      </w:r>
      <w:r>
        <w:rPr>
          <w:rFonts w:ascii="Verdana" w:hAnsi="Verdana"/>
          <w:sz w:val="20"/>
          <w:szCs w:val="20"/>
        </w:rPr>
        <w:t xml:space="preserve">, including PBT properties for </w:t>
      </w:r>
      <w:r w:rsidR="002C467E">
        <w:rPr>
          <w:rFonts w:ascii="Verdana" w:hAnsi="Verdana"/>
          <w:sz w:val="20"/>
          <w:szCs w:val="20"/>
        </w:rPr>
        <w:t xml:space="preserve">the </w:t>
      </w:r>
      <w:r>
        <w:rPr>
          <w:rFonts w:ascii="Verdana" w:hAnsi="Verdana"/>
          <w:sz w:val="20"/>
          <w:szCs w:val="20"/>
        </w:rPr>
        <w:t>higher chlorinated</w:t>
      </w:r>
      <w:r w:rsidR="002C467E">
        <w:rPr>
          <w:rFonts w:ascii="Verdana" w:hAnsi="Verdana"/>
          <w:sz w:val="20"/>
          <w:szCs w:val="20"/>
        </w:rPr>
        <w:t xml:space="preserve"> constituents</w:t>
      </w:r>
      <w:r w:rsidR="004746C9" w:rsidRPr="004746C9">
        <w:rPr>
          <w:rFonts w:ascii="Verdana" w:hAnsi="Verdana"/>
          <w:sz w:val="20"/>
          <w:szCs w:val="20"/>
        </w:rPr>
        <w:t xml:space="preserve">. </w:t>
      </w:r>
      <w:r w:rsidR="000578F2">
        <w:rPr>
          <w:rFonts w:ascii="Verdana" w:hAnsi="Verdana"/>
          <w:sz w:val="20"/>
          <w:szCs w:val="20"/>
        </w:rPr>
        <w:t>MCCPs</w:t>
      </w:r>
      <w:r w:rsidR="007B0111">
        <w:rPr>
          <w:rFonts w:ascii="Verdana" w:hAnsi="Verdana"/>
          <w:sz w:val="20"/>
          <w:szCs w:val="20"/>
        </w:rPr>
        <w:t xml:space="preserve"> containing them</w:t>
      </w:r>
      <w:r w:rsidR="004746C9" w:rsidRPr="004746C9">
        <w:rPr>
          <w:rFonts w:ascii="Verdana" w:hAnsi="Verdana"/>
          <w:sz w:val="20"/>
          <w:szCs w:val="20"/>
        </w:rPr>
        <w:t xml:space="preserve"> above 0.1</w:t>
      </w:r>
      <w:r w:rsidR="009A50EF">
        <w:rPr>
          <w:rFonts w:ascii="Verdana" w:hAnsi="Verdana"/>
          <w:sz w:val="20"/>
          <w:szCs w:val="20"/>
        </w:rPr>
        <w:t>%</w:t>
      </w:r>
      <w:r w:rsidR="004746C9" w:rsidRPr="004746C9">
        <w:rPr>
          <w:rFonts w:ascii="Verdana" w:hAnsi="Verdana"/>
          <w:sz w:val="20"/>
          <w:szCs w:val="20"/>
        </w:rPr>
        <w:t xml:space="preserve"> w/w</w:t>
      </w:r>
      <w:r w:rsidR="007B0111">
        <w:rPr>
          <w:rFonts w:ascii="Verdana" w:hAnsi="Verdana"/>
          <w:sz w:val="20"/>
          <w:szCs w:val="20"/>
        </w:rPr>
        <w:t xml:space="preserve"> </w:t>
      </w:r>
      <w:r w:rsidR="002C467E">
        <w:rPr>
          <w:rFonts w:ascii="Verdana" w:hAnsi="Verdana"/>
          <w:sz w:val="20"/>
          <w:szCs w:val="20"/>
        </w:rPr>
        <w:t xml:space="preserve">could </w:t>
      </w:r>
      <w:r w:rsidR="007B0111">
        <w:rPr>
          <w:rFonts w:ascii="Verdana" w:hAnsi="Verdana"/>
          <w:sz w:val="20"/>
          <w:szCs w:val="20"/>
        </w:rPr>
        <w:t>therefore</w:t>
      </w:r>
      <w:r w:rsidR="002C467E">
        <w:rPr>
          <w:rFonts w:ascii="Verdana" w:hAnsi="Verdana"/>
          <w:sz w:val="20"/>
          <w:szCs w:val="20"/>
        </w:rPr>
        <w:t xml:space="preserve"> be considered</w:t>
      </w:r>
      <w:r w:rsidR="007B0111">
        <w:rPr>
          <w:rFonts w:ascii="Verdana" w:hAnsi="Verdana"/>
          <w:sz w:val="20"/>
          <w:szCs w:val="20"/>
        </w:rPr>
        <w:t xml:space="preserve"> a</w:t>
      </w:r>
      <w:r w:rsidR="002C467E">
        <w:rPr>
          <w:rFonts w:ascii="Verdana" w:hAnsi="Verdana"/>
          <w:sz w:val="20"/>
          <w:szCs w:val="20"/>
        </w:rPr>
        <w:t>s</w:t>
      </w:r>
      <w:r w:rsidR="007B0111">
        <w:rPr>
          <w:rFonts w:ascii="Verdana" w:hAnsi="Verdana"/>
          <w:sz w:val="20"/>
          <w:szCs w:val="20"/>
        </w:rPr>
        <w:t xml:space="preserve"> PBT</w:t>
      </w:r>
      <w:r w:rsidR="002C467E">
        <w:rPr>
          <w:rFonts w:ascii="Verdana" w:hAnsi="Verdana"/>
          <w:sz w:val="20"/>
          <w:szCs w:val="20"/>
        </w:rPr>
        <w:t>.</w:t>
      </w:r>
      <w:r w:rsidR="004746C9" w:rsidRPr="004746C9">
        <w:rPr>
          <w:rFonts w:ascii="Verdana" w:hAnsi="Verdana"/>
          <w:sz w:val="20"/>
          <w:szCs w:val="20"/>
        </w:rPr>
        <w:t xml:space="preserve"> </w:t>
      </w:r>
    </w:p>
    <w:p w14:paraId="39B96A96" w14:textId="5E82D303" w:rsidR="00A23EF3" w:rsidRPr="00150B1C" w:rsidRDefault="0024332C" w:rsidP="00150B1C">
      <w:pPr>
        <w:jc w:val="both"/>
        <w:rPr>
          <w:rFonts w:ascii="Verdana" w:hAnsi="Verdana"/>
          <w:sz w:val="20"/>
          <w:szCs w:val="20"/>
        </w:rPr>
      </w:pPr>
      <w:r>
        <w:rPr>
          <w:rFonts w:ascii="Verdana" w:hAnsi="Verdana"/>
          <w:sz w:val="20"/>
          <w:szCs w:val="20"/>
          <w:lang w:val="en-GB"/>
        </w:rPr>
        <w:br w:type="page"/>
      </w:r>
      <w:bookmarkStart w:id="22" w:name="_Toc285710608"/>
      <w:bookmarkStart w:id="23" w:name="_Toc308015320"/>
      <w:bookmarkStart w:id="24" w:name="_Toc387770109"/>
      <w:bookmarkStart w:id="25" w:name="_Toc285710605"/>
      <w:bookmarkStart w:id="26" w:name="_Toc308015317"/>
    </w:p>
    <w:p w14:paraId="39B96A97" w14:textId="77777777" w:rsidR="001F1420" w:rsidRPr="00336750" w:rsidRDefault="001F1420" w:rsidP="00EF327E">
      <w:pPr>
        <w:pStyle w:val="Heading1"/>
        <w:tabs>
          <w:tab w:val="clear" w:pos="839"/>
          <w:tab w:val="clear" w:pos="1077"/>
          <w:tab w:val="num" w:pos="360"/>
        </w:tabs>
        <w:spacing w:before="240"/>
        <w:ind w:left="360" w:hanging="360"/>
        <w:rPr>
          <w:rFonts w:ascii="Verdana" w:hAnsi="Verdana"/>
        </w:rPr>
      </w:pPr>
      <w:r w:rsidRPr="00336750">
        <w:rPr>
          <w:rFonts w:ascii="Verdana" w:hAnsi="Verdana"/>
        </w:rPr>
        <w:lastRenderedPageBreak/>
        <w:t xml:space="preserve">Information </w:t>
      </w:r>
      <w:bookmarkEnd w:id="22"/>
      <w:bookmarkEnd w:id="23"/>
      <w:r w:rsidR="00336750" w:rsidRPr="00336750">
        <w:rPr>
          <w:rFonts w:ascii="Verdana" w:hAnsi="Verdana"/>
        </w:rPr>
        <w:t>on (aggregated) Tonnage and uses</w:t>
      </w:r>
      <w:bookmarkEnd w:id="24"/>
      <w:r w:rsidR="00942E3F" w:rsidRPr="003B3067">
        <w:rPr>
          <w:rStyle w:val="FootnoteReference"/>
          <w:rFonts w:ascii="Verdana" w:hAnsi="Verdana"/>
          <w:b w:val="0"/>
          <w:szCs w:val="24"/>
        </w:rPr>
        <w:footnoteReference w:id="4"/>
      </w:r>
    </w:p>
    <w:p w14:paraId="39B96A9A" w14:textId="77777777" w:rsidR="00336750" w:rsidRDefault="00336750" w:rsidP="00336750">
      <w:pPr>
        <w:pStyle w:val="Heading2"/>
        <w:tabs>
          <w:tab w:val="clear" w:pos="839"/>
          <w:tab w:val="num" w:pos="540"/>
        </w:tabs>
        <w:spacing w:before="240"/>
        <w:ind w:left="540" w:hanging="540"/>
        <w:rPr>
          <w:szCs w:val="24"/>
        </w:rPr>
      </w:pPr>
      <w:bookmarkStart w:id="27" w:name="_Toc387770110"/>
      <w:r>
        <w:rPr>
          <w:szCs w:val="24"/>
        </w:rPr>
        <w:t>Tonnage and registration status</w:t>
      </w:r>
      <w:bookmarkEnd w:id="27"/>
    </w:p>
    <w:p w14:paraId="39B96A9B" w14:textId="7C501764" w:rsidR="00A23EF3" w:rsidRPr="00A23EF3" w:rsidRDefault="00F07BA6" w:rsidP="00F07BA6">
      <w:pPr>
        <w:pStyle w:val="Caption"/>
        <w:rPr>
          <w:rFonts w:ascii="Verdana" w:hAnsi="Verdana"/>
          <w:b/>
          <w:sz w:val="20"/>
        </w:rPr>
      </w:pPr>
      <w:r w:rsidRPr="00F07BA6">
        <w:rPr>
          <w:rFonts w:ascii="Verdana" w:hAnsi="Verdana"/>
          <w:b/>
          <w:sz w:val="20"/>
        </w:rPr>
        <w:t xml:space="preserve">Table </w:t>
      </w:r>
      <w:r w:rsidRPr="00F07BA6">
        <w:rPr>
          <w:rFonts w:ascii="Verdana" w:hAnsi="Verdana"/>
          <w:b/>
          <w:sz w:val="20"/>
        </w:rPr>
        <w:fldChar w:fldCharType="begin"/>
      </w:r>
      <w:r w:rsidRPr="00F07BA6">
        <w:rPr>
          <w:rFonts w:ascii="Verdana" w:hAnsi="Verdana"/>
          <w:b/>
          <w:sz w:val="20"/>
        </w:rPr>
        <w:instrText xml:space="preserve"> SEQ Table \* ARABIC </w:instrText>
      </w:r>
      <w:r w:rsidRPr="00F07BA6">
        <w:rPr>
          <w:rFonts w:ascii="Verdana" w:hAnsi="Verdana"/>
          <w:b/>
          <w:sz w:val="20"/>
        </w:rPr>
        <w:fldChar w:fldCharType="separate"/>
      </w:r>
      <w:r w:rsidR="005C355A">
        <w:rPr>
          <w:rFonts w:ascii="Verdana" w:hAnsi="Verdana"/>
          <w:b/>
          <w:noProof/>
          <w:sz w:val="20"/>
        </w:rPr>
        <w:t>6</w:t>
      </w:r>
      <w:r w:rsidRPr="00F07BA6">
        <w:rPr>
          <w:rFonts w:ascii="Verdana" w:hAnsi="Verdana"/>
          <w:b/>
          <w:sz w:val="20"/>
        </w:rPr>
        <w:fldChar w:fldCharType="end"/>
      </w:r>
      <w:r w:rsidR="00A23EF3" w:rsidRPr="00F07BA6">
        <w:rPr>
          <w:rFonts w:ascii="Verdana" w:hAnsi="Verdana"/>
          <w:b/>
          <w:sz w:val="20"/>
        </w:rPr>
        <w:t>:</w:t>
      </w:r>
      <w:r w:rsidR="00A23EF3" w:rsidRPr="00FB095A">
        <w:rPr>
          <w:rFonts w:ascii="Verdana" w:hAnsi="Verdana"/>
          <w:b/>
          <w:sz w:val="20"/>
        </w:rPr>
        <w:t xml:space="preserve"> Tonnage and registration status</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4D225E" w:rsidRPr="00336750" w14:paraId="39B96AB7" w14:textId="77777777" w:rsidTr="000E324D">
        <w:trPr>
          <w:trHeight w:val="375"/>
          <w:jc w:val="center"/>
        </w:trPr>
        <w:tc>
          <w:tcPr>
            <w:tcW w:w="8270" w:type="dxa"/>
            <w:gridSpan w:val="2"/>
            <w:shd w:val="clear" w:color="auto" w:fill="auto"/>
            <w:vAlign w:val="center"/>
          </w:tcPr>
          <w:p w14:paraId="39B96AB6" w14:textId="77777777" w:rsidR="004D225E" w:rsidRPr="00973C04" w:rsidRDefault="004D225E" w:rsidP="000E324D">
            <w:pPr>
              <w:pStyle w:val="Caption"/>
              <w:rPr>
                <w:rFonts w:ascii="Verdana" w:hAnsi="Verdana"/>
                <w:b/>
                <w:sz w:val="20"/>
              </w:rPr>
            </w:pPr>
            <w:bookmarkStart w:id="28" w:name="_Toc387770111"/>
            <w:r w:rsidRPr="00973C04">
              <w:rPr>
                <w:rFonts w:ascii="Verdana" w:hAnsi="Verdana"/>
                <w:b/>
                <w:sz w:val="20"/>
              </w:rPr>
              <w:t>From ECHA dissemination site</w:t>
            </w:r>
          </w:p>
        </w:tc>
      </w:tr>
      <w:tr w:rsidR="004D225E" w:rsidRPr="00336750" w14:paraId="39B96ABD" w14:textId="77777777" w:rsidTr="000E324D">
        <w:trPr>
          <w:trHeight w:val="1846"/>
          <w:jc w:val="center"/>
        </w:trPr>
        <w:tc>
          <w:tcPr>
            <w:tcW w:w="3445" w:type="dxa"/>
            <w:shd w:val="clear" w:color="auto" w:fill="auto"/>
            <w:vAlign w:val="center"/>
          </w:tcPr>
          <w:p w14:paraId="39B96AB8" w14:textId="77777777" w:rsidR="004D225E" w:rsidRPr="00336750" w:rsidRDefault="004D225E" w:rsidP="000E324D">
            <w:pPr>
              <w:pStyle w:val="Caption"/>
              <w:spacing w:before="0"/>
              <w:rPr>
                <w:rFonts w:ascii="Verdana" w:hAnsi="Verdana"/>
                <w:sz w:val="20"/>
              </w:rPr>
            </w:pPr>
            <w:r>
              <w:rPr>
                <w:rFonts w:ascii="Verdana" w:hAnsi="Verdana"/>
                <w:sz w:val="20"/>
              </w:rPr>
              <w:t>Registrations</w:t>
            </w:r>
          </w:p>
        </w:tc>
        <w:tc>
          <w:tcPr>
            <w:tcW w:w="4825" w:type="dxa"/>
            <w:shd w:val="clear" w:color="auto" w:fill="auto"/>
            <w:vAlign w:val="center"/>
          </w:tcPr>
          <w:p w14:paraId="39B96AB9" w14:textId="0EAF3FA5" w:rsidR="004D225E" w:rsidRDefault="0066361A" w:rsidP="000E324D">
            <w:pPr>
              <w:pStyle w:val="Caption"/>
              <w:spacing w:after="0"/>
              <w:ind w:left="1122"/>
              <w:rPr>
                <w:rFonts w:ascii="Verdana" w:hAnsi="Verdana"/>
                <w:sz w:val="20"/>
              </w:rPr>
            </w:pPr>
            <w:sdt>
              <w:sdtPr>
                <w:rPr>
                  <w:rFonts w:ascii="Verdana" w:hAnsi="Verdana"/>
                  <w:szCs w:val="24"/>
                </w:rPr>
                <w:id w:val="-680281471"/>
                <w14:checkbox>
                  <w14:checked w14:val="1"/>
                  <w14:checkedState w14:val="2612" w14:font="MS Gothic"/>
                  <w14:uncheckedState w14:val="2610" w14:font="MS Gothic"/>
                </w14:checkbox>
              </w:sdtPr>
              <w:sdtContent>
                <w:r w:rsidR="00863F7C">
                  <w:rPr>
                    <w:rFonts w:ascii="MS Gothic" w:eastAsia="MS Gothic" w:hAnsi="MS Gothic" w:hint="eastAsia"/>
                    <w:szCs w:val="24"/>
                  </w:rPr>
                  <w:t>☒</w:t>
                </w:r>
              </w:sdtContent>
            </w:sdt>
            <w:r w:rsidR="004D225E" w:rsidRPr="00336750">
              <w:rPr>
                <w:rFonts w:ascii="Verdana" w:hAnsi="Verdana"/>
                <w:sz w:val="20"/>
              </w:rPr>
              <w:t xml:space="preserve"> Full registration(s)</w:t>
            </w:r>
          </w:p>
          <w:p w14:paraId="39B96ABA" w14:textId="77777777" w:rsidR="004D225E" w:rsidRPr="00336750" w:rsidRDefault="004D225E" w:rsidP="000E324D">
            <w:pPr>
              <w:pStyle w:val="Caption"/>
              <w:spacing w:before="0"/>
              <w:ind w:left="1524"/>
              <w:rPr>
                <w:rFonts w:ascii="Verdana" w:hAnsi="Verdana"/>
                <w:sz w:val="20"/>
              </w:rPr>
            </w:pPr>
            <w:r>
              <w:rPr>
                <w:rFonts w:ascii="Verdana" w:hAnsi="Verdana"/>
                <w:sz w:val="20"/>
              </w:rPr>
              <w:t>(Art. 10)</w:t>
            </w:r>
          </w:p>
          <w:p w14:paraId="39B96ABB" w14:textId="34302BA2" w:rsidR="004D225E" w:rsidRDefault="0066361A" w:rsidP="000E324D">
            <w:pPr>
              <w:pStyle w:val="Caption"/>
              <w:spacing w:after="0"/>
              <w:ind w:left="1122"/>
              <w:rPr>
                <w:rFonts w:ascii="Verdana" w:hAnsi="Verdana"/>
                <w:sz w:val="20"/>
              </w:rPr>
            </w:pPr>
            <w:sdt>
              <w:sdtPr>
                <w:rPr>
                  <w:rFonts w:ascii="Verdana" w:hAnsi="Verdana"/>
                  <w:szCs w:val="24"/>
                </w:rPr>
                <w:id w:val="-2012682110"/>
                <w14:checkbox>
                  <w14:checked w14:val="0"/>
                  <w14:checkedState w14:val="2612" w14:font="MS Gothic"/>
                  <w14:uncheckedState w14:val="2610" w14:font="MS Gothic"/>
                </w14:checkbox>
              </w:sdtPr>
              <w:sdtContent>
                <w:r w:rsidR="00863F7C">
                  <w:rPr>
                    <w:rFonts w:ascii="MS Gothic" w:eastAsia="MS Gothic" w:hAnsi="MS Gothic" w:hint="eastAsia"/>
                    <w:szCs w:val="24"/>
                  </w:rPr>
                  <w:t>☐</w:t>
                </w:r>
              </w:sdtContent>
            </w:sdt>
            <w:r w:rsidR="004D225E" w:rsidRPr="00336750">
              <w:rPr>
                <w:rFonts w:ascii="Verdana" w:hAnsi="Verdana"/>
                <w:sz w:val="20"/>
              </w:rPr>
              <w:t xml:space="preserve"> </w:t>
            </w:r>
            <w:r w:rsidR="004D225E">
              <w:rPr>
                <w:rFonts w:ascii="Verdana" w:hAnsi="Verdana"/>
                <w:sz w:val="20"/>
              </w:rPr>
              <w:t>Intermediate</w:t>
            </w:r>
            <w:r w:rsidR="004D225E" w:rsidRPr="00336750">
              <w:rPr>
                <w:rFonts w:ascii="Verdana" w:hAnsi="Verdana"/>
                <w:sz w:val="20"/>
              </w:rPr>
              <w:t xml:space="preserve"> registration(s)</w:t>
            </w:r>
          </w:p>
          <w:p w14:paraId="39B96ABC" w14:textId="77777777" w:rsidR="004D225E" w:rsidRPr="00336750" w:rsidRDefault="004D225E" w:rsidP="004D225E">
            <w:pPr>
              <w:pStyle w:val="Caption"/>
              <w:spacing w:after="0"/>
              <w:ind w:left="1529"/>
              <w:rPr>
                <w:rFonts w:ascii="Verdana" w:hAnsi="Verdana"/>
                <w:sz w:val="20"/>
              </w:rPr>
            </w:pPr>
            <w:r>
              <w:rPr>
                <w:rFonts w:ascii="Verdana" w:hAnsi="Verdana"/>
                <w:sz w:val="20"/>
              </w:rPr>
              <w:t>(Art. 17 and/or 18)</w:t>
            </w:r>
          </w:p>
        </w:tc>
      </w:tr>
      <w:tr w:rsidR="004D225E" w:rsidRPr="00336750" w14:paraId="39B96AC3" w14:textId="77777777" w:rsidTr="000E324D">
        <w:trPr>
          <w:trHeight w:val="375"/>
          <w:jc w:val="center"/>
        </w:trPr>
        <w:tc>
          <w:tcPr>
            <w:tcW w:w="3445" w:type="dxa"/>
            <w:tcBorders>
              <w:bottom w:val="single" w:sz="4" w:space="0" w:color="auto"/>
            </w:tcBorders>
            <w:shd w:val="clear" w:color="auto" w:fill="auto"/>
            <w:vAlign w:val="center"/>
          </w:tcPr>
          <w:p w14:paraId="39B96ABE" w14:textId="77777777" w:rsidR="004D225E" w:rsidRDefault="004D225E" w:rsidP="000E324D">
            <w:pPr>
              <w:pStyle w:val="Caption"/>
              <w:spacing w:after="0"/>
              <w:rPr>
                <w:rFonts w:ascii="Verdana" w:hAnsi="Verdana"/>
                <w:sz w:val="20"/>
              </w:rPr>
            </w:pPr>
            <w:r w:rsidRPr="00336750">
              <w:rPr>
                <w:rFonts w:ascii="Verdana" w:hAnsi="Verdana"/>
                <w:sz w:val="20"/>
              </w:rPr>
              <w:t>T</w:t>
            </w:r>
            <w:r>
              <w:rPr>
                <w:rFonts w:ascii="Verdana" w:hAnsi="Verdana"/>
                <w:sz w:val="20"/>
              </w:rPr>
              <w:t>otal t</w:t>
            </w:r>
            <w:r w:rsidRPr="00336750">
              <w:rPr>
                <w:rFonts w:ascii="Verdana" w:hAnsi="Verdana"/>
                <w:sz w:val="20"/>
              </w:rPr>
              <w:t>onnage band</w:t>
            </w:r>
            <w:r>
              <w:rPr>
                <w:rFonts w:ascii="Verdana" w:hAnsi="Verdana"/>
                <w:sz w:val="20"/>
              </w:rPr>
              <w:t xml:space="preserve"> for substance (excluding volume registered under Art 17 or Art 18, or directly exported) </w:t>
            </w:r>
          </w:p>
          <w:p w14:paraId="39B96ABF" w14:textId="77777777" w:rsidR="004D225E" w:rsidRDefault="004D225E" w:rsidP="000E324D">
            <w:pPr>
              <w:pStyle w:val="Caption"/>
              <w:spacing w:after="0"/>
              <w:rPr>
                <w:rFonts w:ascii="Verdana" w:hAnsi="Verdana"/>
                <w:szCs w:val="24"/>
              </w:rPr>
            </w:pPr>
          </w:p>
        </w:tc>
        <w:tc>
          <w:tcPr>
            <w:tcW w:w="4825" w:type="dxa"/>
            <w:tcBorders>
              <w:bottom w:val="single" w:sz="4" w:space="0" w:color="auto"/>
            </w:tcBorders>
            <w:shd w:val="clear" w:color="auto" w:fill="auto"/>
            <w:vAlign w:val="center"/>
          </w:tcPr>
          <w:p w14:paraId="39B96AC0" w14:textId="77777777" w:rsidR="004D225E" w:rsidRDefault="004D225E" w:rsidP="000E324D">
            <w:pPr>
              <w:pStyle w:val="Caption"/>
              <w:rPr>
                <w:rFonts w:ascii="Verdana" w:hAnsi="Verdana"/>
                <w:sz w:val="20"/>
              </w:rPr>
            </w:pPr>
          </w:p>
          <w:p w14:paraId="39B96AC1" w14:textId="1A114E2C" w:rsidR="004D225E" w:rsidRDefault="0066361A" w:rsidP="000E324D">
            <w:pPr>
              <w:pStyle w:val="BodyText"/>
              <w:jc w:val="center"/>
            </w:pPr>
            <w:sdt>
              <w:sdtPr>
                <w:rPr>
                  <w:rFonts w:ascii="Verdana" w:hAnsi="Verdana"/>
                  <w:sz w:val="20"/>
                </w:rPr>
                <w:alias w:val="Choose the appropriate option below."/>
                <w:tag w:val="Choose the appropriate option below."/>
                <w:id w:val="-870384082"/>
                <w:dropDownList>
                  <w:listItem w:displayText="Choose the appropriate option from this dropdown menu." w:value="Choose the appropriate option from this dropdown menu."/>
                  <w:listItem w:displayText="1-10 tpa" w:value="1-10 tpa"/>
                  <w:listItem w:displayText="10-100 tpa" w:value="10-100 tpa"/>
                  <w:listItem w:displayText="100-1,000 tpa" w:value="100-1,000 tpa"/>
                  <w:listItem w:displayText="1,000-10,000 tpa" w:value="1,000-10,000 tpa"/>
                  <w:listItem w:displayText="10,000-100,000 tpa" w:value="10,000-100,000 tpa"/>
                  <w:listItem w:displayText="100,000-1,000,000 tpa" w:value="100,000-1,000,000 tpa"/>
                  <w:listItem w:displayText="1,000,000-10,000,000 tpa" w:value="1,000,000-10,000,000 tpa"/>
                  <w:listItem w:displayText="10,000,000-100,000,000 tpa" w:value="10,000,000-100,000,000 tpa"/>
                  <w:listItem w:displayText="&gt; 100,000,000 tpa" w:value="&gt; 100,000,000 tpa"/>
                  <w:listItem w:displayText="&lt;1 . . . . . . . . . . . . &gt;+ tpa  (e.g. 10+ ; 100+ ; 10,000+  tpa)" w:value="&lt;1 . . . . . . . . . . . . &gt;+ tpa  (e.g. 10+ ; 100+ ; 10,000+  tpa)"/>
                  <w:listItem w:displayText="Confidential" w:value="Confidential"/>
                </w:dropDownList>
              </w:sdtPr>
              <w:sdtContent>
                <w:r w:rsidR="00863F7C">
                  <w:rPr>
                    <w:rFonts w:ascii="Verdana" w:hAnsi="Verdana"/>
                    <w:sz w:val="20"/>
                  </w:rPr>
                  <w:t>10,000-100,000 tpa</w:t>
                </w:r>
              </w:sdtContent>
            </w:sdt>
          </w:p>
          <w:p w14:paraId="39B96AC2" w14:textId="77777777" w:rsidR="004D225E" w:rsidRDefault="004D225E" w:rsidP="000E324D">
            <w:pPr>
              <w:pStyle w:val="Caption"/>
              <w:spacing w:after="0"/>
              <w:rPr>
                <w:rFonts w:ascii="Verdana" w:hAnsi="Verdana"/>
                <w:szCs w:val="24"/>
              </w:rPr>
            </w:pPr>
          </w:p>
        </w:tc>
      </w:tr>
    </w:tbl>
    <w:p w14:paraId="2711F319" w14:textId="77777777" w:rsidR="00B00F0F" w:rsidRDefault="00B00F0F" w:rsidP="00B00F0F">
      <w:pPr>
        <w:spacing w:after="0"/>
        <w:jc w:val="both"/>
        <w:rPr>
          <w:rFonts w:ascii="Verdana" w:hAnsi="Verdana"/>
          <w:sz w:val="20"/>
          <w:lang w:val="en-GB"/>
        </w:rPr>
      </w:pPr>
    </w:p>
    <w:p w14:paraId="2CD23B04" w14:textId="7E6BEE04" w:rsidR="0087257E" w:rsidRDefault="00EF4977" w:rsidP="00B00F0F">
      <w:pPr>
        <w:spacing w:after="0"/>
        <w:jc w:val="both"/>
        <w:rPr>
          <w:rFonts w:ascii="Verdana" w:hAnsi="Verdana"/>
          <w:sz w:val="20"/>
          <w:szCs w:val="20"/>
          <w:lang w:val="en-GB"/>
        </w:rPr>
      </w:pPr>
      <w:r>
        <w:rPr>
          <w:rFonts w:ascii="Verdana" w:hAnsi="Verdana"/>
          <w:sz w:val="20"/>
          <w:lang w:val="en-GB"/>
        </w:rPr>
        <w:t xml:space="preserve">Most </w:t>
      </w:r>
      <w:r w:rsidR="000578F2">
        <w:rPr>
          <w:rFonts w:ascii="Verdana" w:hAnsi="Verdana"/>
          <w:sz w:val="20"/>
          <w:lang w:val="en-GB"/>
        </w:rPr>
        <w:t>MCCPs</w:t>
      </w:r>
      <w:r w:rsidR="00607BBD">
        <w:rPr>
          <w:rFonts w:ascii="Verdana" w:hAnsi="Verdana"/>
          <w:sz w:val="20"/>
          <w:lang w:val="en-GB"/>
        </w:rPr>
        <w:t xml:space="preserve"> </w:t>
      </w:r>
      <w:r w:rsidR="00B00F0F">
        <w:rPr>
          <w:rFonts w:ascii="Verdana" w:hAnsi="Verdana"/>
          <w:sz w:val="20"/>
          <w:lang w:val="en-GB"/>
        </w:rPr>
        <w:t>used in the</w:t>
      </w:r>
      <w:r w:rsidR="0087257E">
        <w:rPr>
          <w:rFonts w:ascii="Verdana" w:hAnsi="Verdana"/>
          <w:sz w:val="20"/>
          <w:lang w:val="en-GB"/>
        </w:rPr>
        <w:t xml:space="preserve"> </w:t>
      </w:r>
      <w:r w:rsidR="00E82F85">
        <w:rPr>
          <w:rFonts w:ascii="Verdana" w:hAnsi="Verdana"/>
          <w:sz w:val="20"/>
          <w:lang w:val="en-GB"/>
        </w:rPr>
        <w:t>EU</w:t>
      </w:r>
      <w:r w:rsidR="00B00F0F">
        <w:rPr>
          <w:rFonts w:ascii="Verdana" w:hAnsi="Verdana"/>
          <w:sz w:val="20"/>
          <w:lang w:val="en-GB"/>
        </w:rPr>
        <w:t xml:space="preserve"> is </w:t>
      </w:r>
      <w:r w:rsidR="00B00F0F" w:rsidRPr="001B0749">
        <w:rPr>
          <w:rFonts w:ascii="Verdana" w:hAnsi="Verdana"/>
          <w:sz w:val="20"/>
          <w:lang w:val="en-GB"/>
        </w:rPr>
        <w:t xml:space="preserve">manufactured </w:t>
      </w:r>
      <w:r>
        <w:rPr>
          <w:rFonts w:ascii="Verdana" w:hAnsi="Verdana"/>
          <w:sz w:val="20"/>
          <w:lang w:val="en-GB"/>
        </w:rPr>
        <w:t>with</w:t>
      </w:r>
      <w:r w:rsidR="00B00F0F" w:rsidRPr="001B0749">
        <w:rPr>
          <w:rFonts w:ascii="Verdana" w:hAnsi="Verdana"/>
          <w:sz w:val="20"/>
          <w:lang w:val="en-GB"/>
        </w:rPr>
        <w:t>in the E</w:t>
      </w:r>
      <w:r w:rsidR="00E82F85">
        <w:rPr>
          <w:rFonts w:ascii="Verdana" w:hAnsi="Verdana"/>
          <w:sz w:val="20"/>
          <w:lang w:val="en-GB"/>
        </w:rPr>
        <w:t>U</w:t>
      </w:r>
      <w:r w:rsidR="00B00F0F">
        <w:rPr>
          <w:rFonts w:ascii="Verdana" w:hAnsi="Verdana"/>
          <w:sz w:val="20"/>
          <w:lang w:val="en-GB"/>
        </w:rPr>
        <w:t xml:space="preserve"> with </w:t>
      </w:r>
      <w:r>
        <w:rPr>
          <w:rFonts w:ascii="Verdana" w:hAnsi="Verdana"/>
          <w:sz w:val="20"/>
          <w:lang w:val="en-GB"/>
        </w:rPr>
        <w:t xml:space="preserve">only </w:t>
      </w:r>
      <w:r w:rsidR="00B00F0F">
        <w:rPr>
          <w:rFonts w:ascii="Verdana" w:hAnsi="Verdana"/>
          <w:sz w:val="20"/>
          <w:lang w:val="en-GB"/>
        </w:rPr>
        <w:t>a small proportion (&lt;10</w:t>
      </w:r>
      <w:r w:rsidR="009A50EF">
        <w:rPr>
          <w:rFonts w:ascii="Verdana" w:hAnsi="Verdana"/>
          <w:sz w:val="20"/>
          <w:lang w:val="en-GB"/>
        </w:rPr>
        <w:t>%</w:t>
      </w:r>
      <w:r w:rsidR="00B00F0F">
        <w:rPr>
          <w:rFonts w:ascii="Verdana" w:hAnsi="Verdana"/>
          <w:sz w:val="20"/>
          <w:lang w:val="en-GB"/>
        </w:rPr>
        <w:t>)</w:t>
      </w:r>
      <w:r w:rsidR="00B00F0F" w:rsidRPr="001B0749">
        <w:rPr>
          <w:rFonts w:ascii="Verdana" w:hAnsi="Verdana"/>
          <w:sz w:val="20"/>
          <w:lang w:val="en-GB"/>
        </w:rPr>
        <w:t xml:space="preserve"> imported </w:t>
      </w:r>
      <w:r w:rsidR="00B00F0F">
        <w:rPr>
          <w:rFonts w:ascii="Verdana" w:hAnsi="Verdana"/>
          <w:sz w:val="20"/>
          <w:lang w:val="en-GB"/>
        </w:rPr>
        <w:t>from outside the bloc.</w:t>
      </w:r>
      <w:r w:rsidR="0087257E">
        <w:rPr>
          <w:rFonts w:ascii="Verdana" w:hAnsi="Verdana"/>
          <w:sz w:val="20"/>
          <w:lang w:val="en-GB"/>
        </w:rPr>
        <w:t xml:space="preserve"> Based on confidential information in the </w:t>
      </w:r>
      <w:r w:rsidR="0087257E">
        <w:rPr>
          <w:rFonts w:ascii="Verdana" w:hAnsi="Verdana"/>
          <w:sz w:val="20"/>
          <w:szCs w:val="20"/>
          <w:lang w:val="en-GB"/>
        </w:rPr>
        <w:t xml:space="preserve">REACH </w:t>
      </w:r>
      <w:r w:rsidR="0087257E">
        <w:rPr>
          <w:rFonts w:ascii="Verdana" w:hAnsi="Verdana"/>
          <w:sz w:val="20"/>
          <w:lang w:val="en-GB"/>
        </w:rPr>
        <w:t>registration dossiers</w:t>
      </w:r>
      <w:r w:rsidR="004646FA">
        <w:rPr>
          <w:rFonts w:ascii="Verdana" w:hAnsi="Verdana"/>
          <w:sz w:val="20"/>
          <w:szCs w:val="20"/>
          <w:lang w:val="en-GB"/>
        </w:rPr>
        <w:t xml:space="preserve">, the tonnage of </w:t>
      </w:r>
      <w:r w:rsidR="000578F2">
        <w:rPr>
          <w:rFonts w:ascii="Verdana" w:hAnsi="Verdana"/>
          <w:sz w:val="20"/>
          <w:szCs w:val="20"/>
          <w:lang w:val="en-GB"/>
        </w:rPr>
        <w:t>MCCPs</w:t>
      </w:r>
      <w:r w:rsidR="00607BBD">
        <w:rPr>
          <w:rFonts w:ascii="Verdana" w:hAnsi="Verdana"/>
          <w:sz w:val="20"/>
          <w:szCs w:val="20"/>
          <w:lang w:val="en-GB"/>
        </w:rPr>
        <w:t xml:space="preserve"> </w:t>
      </w:r>
      <w:r w:rsidR="004646FA">
        <w:rPr>
          <w:rFonts w:ascii="Verdana" w:hAnsi="Verdana"/>
          <w:sz w:val="20"/>
          <w:szCs w:val="20"/>
          <w:lang w:val="en-GB"/>
        </w:rPr>
        <w:t>produced and used in the E</w:t>
      </w:r>
      <w:r w:rsidR="0087257E">
        <w:rPr>
          <w:rFonts w:ascii="Verdana" w:hAnsi="Verdana"/>
          <w:sz w:val="20"/>
          <w:szCs w:val="20"/>
          <w:lang w:val="en-GB"/>
        </w:rPr>
        <w:t xml:space="preserve">U </w:t>
      </w:r>
      <w:r w:rsidR="004646FA">
        <w:rPr>
          <w:rFonts w:ascii="Verdana" w:hAnsi="Verdana"/>
          <w:sz w:val="20"/>
          <w:szCs w:val="20"/>
          <w:lang w:val="en-GB"/>
        </w:rPr>
        <w:t>appears to have remained broadly unchanged</w:t>
      </w:r>
      <w:r w:rsidR="0087257E">
        <w:rPr>
          <w:rFonts w:ascii="Verdana" w:hAnsi="Verdana"/>
          <w:sz w:val="20"/>
          <w:szCs w:val="20"/>
          <w:lang w:val="en-GB"/>
        </w:rPr>
        <w:t xml:space="preserve"> since 2010</w:t>
      </w:r>
      <w:r w:rsidR="004646FA">
        <w:rPr>
          <w:rFonts w:ascii="Verdana" w:hAnsi="Verdana"/>
          <w:sz w:val="20"/>
          <w:szCs w:val="20"/>
          <w:lang w:val="en-GB"/>
        </w:rPr>
        <w:t xml:space="preserve">. </w:t>
      </w:r>
    </w:p>
    <w:p w14:paraId="5CA92183" w14:textId="77777777" w:rsidR="0087257E" w:rsidRDefault="0087257E" w:rsidP="00B00F0F">
      <w:pPr>
        <w:spacing w:after="0"/>
        <w:jc w:val="both"/>
        <w:rPr>
          <w:rFonts w:ascii="Verdana" w:hAnsi="Verdana"/>
          <w:sz w:val="20"/>
          <w:szCs w:val="20"/>
          <w:lang w:val="en-GB"/>
        </w:rPr>
      </w:pPr>
    </w:p>
    <w:p w14:paraId="0206808E" w14:textId="4C17EE4E" w:rsidR="00B00F0F" w:rsidRPr="00E82F85" w:rsidRDefault="000C2201" w:rsidP="00B00F0F">
      <w:pPr>
        <w:spacing w:after="0"/>
        <w:jc w:val="both"/>
        <w:rPr>
          <w:rFonts w:ascii="Verdana" w:hAnsi="Verdana"/>
          <w:sz w:val="20"/>
          <w:lang w:val="en-GB"/>
        </w:rPr>
      </w:pPr>
      <w:r>
        <w:rPr>
          <w:rFonts w:ascii="Verdana" w:hAnsi="Verdana"/>
          <w:sz w:val="20"/>
          <w:szCs w:val="20"/>
          <w:lang w:val="en-GB"/>
        </w:rPr>
        <w:t xml:space="preserve">There are six manufacturing </w:t>
      </w:r>
      <w:r w:rsidR="00AA12BC">
        <w:rPr>
          <w:rFonts w:ascii="Verdana" w:hAnsi="Verdana"/>
          <w:sz w:val="20"/>
          <w:szCs w:val="20"/>
          <w:lang w:val="en-GB"/>
        </w:rPr>
        <w:t>sites</w:t>
      </w:r>
      <w:r>
        <w:rPr>
          <w:rFonts w:ascii="Verdana" w:hAnsi="Verdana"/>
          <w:sz w:val="20"/>
          <w:szCs w:val="20"/>
          <w:lang w:val="en-GB"/>
        </w:rPr>
        <w:t xml:space="preserve"> </w:t>
      </w:r>
      <w:r w:rsidR="009C4562">
        <w:rPr>
          <w:rFonts w:ascii="Verdana" w:hAnsi="Verdana"/>
          <w:sz w:val="20"/>
          <w:szCs w:val="20"/>
          <w:lang w:val="en-GB"/>
        </w:rPr>
        <w:t xml:space="preserve">(underlined in the list below) </w:t>
      </w:r>
      <w:r>
        <w:rPr>
          <w:rFonts w:ascii="Verdana" w:hAnsi="Verdana"/>
          <w:sz w:val="20"/>
          <w:szCs w:val="20"/>
          <w:lang w:val="en-GB"/>
        </w:rPr>
        <w:t>in the E</w:t>
      </w:r>
      <w:r w:rsidR="0087257E">
        <w:rPr>
          <w:rFonts w:ascii="Verdana" w:hAnsi="Verdana"/>
          <w:sz w:val="20"/>
          <w:szCs w:val="20"/>
          <w:lang w:val="en-GB"/>
        </w:rPr>
        <w:t>U</w:t>
      </w:r>
      <w:r w:rsidR="00BF777D" w:rsidRPr="009C4562">
        <w:rPr>
          <w:rFonts w:ascii="Verdana" w:hAnsi="Verdana"/>
          <w:sz w:val="20"/>
          <w:szCs w:val="20"/>
          <w:lang w:val="en-GB"/>
        </w:rPr>
        <w:t>,</w:t>
      </w:r>
      <w:r w:rsidR="005A1EF8" w:rsidRPr="009C4562">
        <w:t xml:space="preserve"> </w:t>
      </w:r>
      <w:r w:rsidR="005A1EF8" w:rsidRPr="009C4562">
        <w:rPr>
          <w:rFonts w:ascii="Verdana" w:hAnsi="Verdana"/>
          <w:sz w:val="20"/>
          <w:szCs w:val="20"/>
          <w:lang w:val="en-GB"/>
        </w:rPr>
        <w:t>in Germany, Italy, Spain, the Slovak Republic and the United Kingdom.</w:t>
      </w:r>
      <w:r>
        <w:rPr>
          <w:rFonts w:ascii="Verdana" w:hAnsi="Verdana"/>
          <w:sz w:val="20"/>
          <w:szCs w:val="20"/>
          <w:lang w:val="en-GB"/>
        </w:rPr>
        <w:t xml:space="preserve"> </w:t>
      </w:r>
      <w:r w:rsidR="005A1EF8">
        <w:rPr>
          <w:rFonts w:ascii="Verdana" w:hAnsi="Verdana"/>
          <w:sz w:val="20"/>
          <w:szCs w:val="20"/>
          <w:lang w:val="en-GB"/>
        </w:rPr>
        <w:t xml:space="preserve">There are </w:t>
      </w:r>
      <w:r w:rsidR="00BF777D">
        <w:rPr>
          <w:rFonts w:ascii="Verdana" w:hAnsi="Verdana"/>
          <w:sz w:val="20"/>
          <w:szCs w:val="20"/>
          <w:lang w:val="en-GB"/>
        </w:rPr>
        <w:t xml:space="preserve">ten active </w:t>
      </w:r>
      <w:r>
        <w:rPr>
          <w:rFonts w:ascii="Verdana" w:hAnsi="Verdana"/>
          <w:sz w:val="20"/>
          <w:szCs w:val="20"/>
          <w:lang w:val="en-GB"/>
        </w:rPr>
        <w:t>REACH registrations:</w:t>
      </w:r>
    </w:p>
    <w:p w14:paraId="4E7E83DD" w14:textId="77777777" w:rsidR="00B00F0F" w:rsidRDefault="00B00F0F" w:rsidP="00B00F0F">
      <w:pPr>
        <w:spacing w:after="0"/>
        <w:jc w:val="both"/>
        <w:rPr>
          <w:rFonts w:ascii="Verdana" w:hAnsi="Verdana"/>
          <w:sz w:val="20"/>
          <w:szCs w:val="20"/>
          <w:lang w:val="en-GB"/>
        </w:rPr>
      </w:pPr>
    </w:p>
    <w:p w14:paraId="3F1A1354" w14:textId="148E43AF" w:rsidR="00FE215A" w:rsidRPr="009C4562" w:rsidRDefault="00FE215A" w:rsidP="00943C49">
      <w:pPr>
        <w:pStyle w:val="ListParagraph"/>
        <w:numPr>
          <w:ilvl w:val="0"/>
          <w:numId w:val="13"/>
        </w:numPr>
        <w:spacing w:after="0"/>
        <w:jc w:val="both"/>
        <w:rPr>
          <w:rFonts w:ascii="Verdana" w:hAnsi="Verdana"/>
          <w:sz w:val="20"/>
          <w:szCs w:val="20"/>
          <w:u w:val="single"/>
          <w:lang w:val="en-GB"/>
        </w:rPr>
      </w:pPr>
      <w:r w:rsidRPr="009C4562">
        <w:rPr>
          <w:rFonts w:ascii="Verdana" w:hAnsi="Verdana"/>
          <w:sz w:val="20"/>
          <w:szCs w:val="20"/>
          <w:u w:val="single"/>
          <w:lang w:val="en-GB"/>
        </w:rPr>
        <w:t>A</w:t>
      </w:r>
      <w:r w:rsidR="0087257E" w:rsidRPr="009C4562">
        <w:rPr>
          <w:rFonts w:ascii="Verdana" w:hAnsi="Verdana"/>
          <w:sz w:val="20"/>
          <w:szCs w:val="20"/>
          <w:u w:val="single"/>
          <w:lang w:val="en-GB"/>
        </w:rPr>
        <w:t>ltair</w:t>
      </w:r>
      <w:r w:rsidRPr="009C4562">
        <w:rPr>
          <w:rFonts w:ascii="Verdana" w:hAnsi="Verdana"/>
          <w:sz w:val="20"/>
          <w:szCs w:val="20"/>
          <w:u w:val="single"/>
          <w:lang w:val="en-GB"/>
        </w:rPr>
        <w:t xml:space="preserve"> </w:t>
      </w:r>
      <w:proofErr w:type="spellStart"/>
      <w:r w:rsidRPr="009C4562">
        <w:rPr>
          <w:rFonts w:ascii="Verdana" w:hAnsi="Verdana"/>
          <w:sz w:val="20"/>
          <w:szCs w:val="20"/>
          <w:u w:val="single"/>
          <w:lang w:val="en-GB"/>
        </w:rPr>
        <w:t>C</w:t>
      </w:r>
      <w:r w:rsidR="0087257E" w:rsidRPr="009C4562">
        <w:rPr>
          <w:rFonts w:ascii="Verdana" w:hAnsi="Verdana"/>
          <w:sz w:val="20"/>
          <w:szCs w:val="20"/>
          <w:u w:val="single"/>
          <w:lang w:val="en-GB"/>
        </w:rPr>
        <w:t>himica</w:t>
      </w:r>
      <w:proofErr w:type="spellEnd"/>
      <w:r w:rsidRPr="009C4562">
        <w:rPr>
          <w:rFonts w:ascii="Verdana" w:hAnsi="Verdana"/>
          <w:sz w:val="20"/>
          <w:szCs w:val="20"/>
          <w:u w:val="single"/>
          <w:lang w:val="en-GB"/>
        </w:rPr>
        <w:t xml:space="preserve"> S</w:t>
      </w:r>
      <w:r w:rsidR="0087257E" w:rsidRPr="009C4562">
        <w:rPr>
          <w:rFonts w:ascii="Verdana" w:hAnsi="Verdana"/>
          <w:sz w:val="20"/>
          <w:szCs w:val="20"/>
          <w:u w:val="single"/>
          <w:lang w:val="en-GB"/>
        </w:rPr>
        <w:t>.</w:t>
      </w:r>
      <w:r w:rsidRPr="009C4562">
        <w:rPr>
          <w:rFonts w:ascii="Verdana" w:hAnsi="Verdana"/>
          <w:sz w:val="20"/>
          <w:szCs w:val="20"/>
          <w:u w:val="single"/>
          <w:lang w:val="en-GB"/>
        </w:rPr>
        <w:t>P</w:t>
      </w:r>
      <w:r w:rsidR="0087257E" w:rsidRPr="009C4562">
        <w:rPr>
          <w:rFonts w:ascii="Verdana" w:hAnsi="Verdana"/>
          <w:sz w:val="20"/>
          <w:szCs w:val="20"/>
          <w:u w:val="single"/>
          <w:lang w:val="en-GB"/>
        </w:rPr>
        <w:t>.</w:t>
      </w:r>
      <w:r w:rsidRPr="009C4562">
        <w:rPr>
          <w:rFonts w:ascii="Verdana" w:hAnsi="Verdana"/>
          <w:sz w:val="20"/>
          <w:szCs w:val="20"/>
          <w:u w:val="single"/>
          <w:lang w:val="en-GB"/>
        </w:rPr>
        <w:t>A</w:t>
      </w:r>
      <w:r w:rsidR="0087257E" w:rsidRPr="009C4562">
        <w:rPr>
          <w:rFonts w:ascii="Verdana" w:hAnsi="Verdana"/>
          <w:sz w:val="20"/>
          <w:szCs w:val="20"/>
          <w:u w:val="single"/>
          <w:lang w:val="en-GB"/>
        </w:rPr>
        <w:t>.,</w:t>
      </w:r>
      <w:r w:rsidRPr="009C4562">
        <w:rPr>
          <w:rFonts w:ascii="Verdana" w:hAnsi="Verdana"/>
          <w:sz w:val="20"/>
          <w:szCs w:val="20"/>
          <w:u w:val="single"/>
          <w:lang w:val="en-GB"/>
        </w:rPr>
        <w:t xml:space="preserve"> S</w:t>
      </w:r>
      <w:r w:rsidR="0087257E" w:rsidRPr="009C4562">
        <w:rPr>
          <w:rFonts w:ascii="Verdana" w:hAnsi="Verdana"/>
          <w:sz w:val="20"/>
          <w:szCs w:val="20"/>
          <w:u w:val="single"/>
          <w:lang w:val="en-GB"/>
        </w:rPr>
        <w:t>aline</w:t>
      </w:r>
      <w:r w:rsidRPr="009C4562">
        <w:rPr>
          <w:rFonts w:ascii="Verdana" w:hAnsi="Verdana"/>
          <w:sz w:val="20"/>
          <w:szCs w:val="20"/>
          <w:u w:val="single"/>
          <w:lang w:val="en-GB"/>
        </w:rPr>
        <w:t xml:space="preserve"> </w:t>
      </w:r>
      <w:r w:rsidR="00BF777D" w:rsidRPr="009C4562">
        <w:rPr>
          <w:rFonts w:ascii="Verdana" w:hAnsi="Verdana"/>
          <w:sz w:val="20"/>
          <w:szCs w:val="20"/>
          <w:u w:val="single"/>
          <w:lang w:val="en-GB"/>
        </w:rPr>
        <w:t>D</w:t>
      </w:r>
      <w:r w:rsidR="0087257E" w:rsidRPr="009C4562">
        <w:rPr>
          <w:rFonts w:ascii="Verdana" w:hAnsi="Verdana"/>
          <w:sz w:val="20"/>
          <w:szCs w:val="20"/>
          <w:u w:val="single"/>
          <w:lang w:val="en-GB"/>
        </w:rPr>
        <w:t>i</w:t>
      </w:r>
      <w:r w:rsidR="00BF777D" w:rsidRPr="009C4562">
        <w:rPr>
          <w:rFonts w:ascii="Verdana" w:hAnsi="Verdana"/>
          <w:sz w:val="20"/>
          <w:szCs w:val="20"/>
          <w:u w:val="single"/>
          <w:lang w:val="en-GB"/>
        </w:rPr>
        <w:t xml:space="preserve"> </w:t>
      </w:r>
      <w:proofErr w:type="spellStart"/>
      <w:r w:rsidR="00BF777D" w:rsidRPr="009C4562">
        <w:rPr>
          <w:rFonts w:ascii="Verdana" w:hAnsi="Verdana"/>
          <w:sz w:val="20"/>
          <w:szCs w:val="20"/>
          <w:u w:val="single"/>
          <w:lang w:val="en-GB"/>
        </w:rPr>
        <w:t>V</w:t>
      </w:r>
      <w:r w:rsidR="0087257E" w:rsidRPr="009C4562">
        <w:rPr>
          <w:rFonts w:ascii="Verdana" w:hAnsi="Verdana"/>
          <w:sz w:val="20"/>
          <w:szCs w:val="20"/>
          <w:u w:val="single"/>
          <w:lang w:val="en-GB"/>
        </w:rPr>
        <w:t>olterra</w:t>
      </w:r>
      <w:proofErr w:type="spellEnd"/>
      <w:r w:rsidR="00BF777D" w:rsidRPr="009C4562">
        <w:rPr>
          <w:rFonts w:ascii="Verdana" w:hAnsi="Verdana"/>
          <w:sz w:val="20"/>
          <w:szCs w:val="20"/>
          <w:u w:val="single"/>
          <w:lang w:val="en-GB"/>
        </w:rPr>
        <w:t xml:space="preserve"> (PI)</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Italy</w:t>
      </w:r>
    </w:p>
    <w:p w14:paraId="6664613E" w14:textId="259EBD79" w:rsidR="00FE215A" w:rsidRPr="009C4562" w:rsidRDefault="00FE215A" w:rsidP="00943C49">
      <w:pPr>
        <w:pStyle w:val="ListParagraph"/>
        <w:numPr>
          <w:ilvl w:val="0"/>
          <w:numId w:val="13"/>
        </w:numPr>
        <w:spacing w:after="0"/>
        <w:jc w:val="both"/>
        <w:rPr>
          <w:rFonts w:ascii="Verdana" w:hAnsi="Verdana"/>
          <w:sz w:val="20"/>
          <w:szCs w:val="20"/>
          <w:u w:val="single"/>
          <w:lang w:val="en-GB"/>
        </w:rPr>
      </w:pPr>
      <w:proofErr w:type="spellStart"/>
      <w:r w:rsidRPr="009C4562">
        <w:rPr>
          <w:rFonts w:ascii="Verdana" w:hAnsi="Verdana"/>
          <w:sz w:val="20"/>
          <w:szCs w:val="20"/>
          <w:u w:val="single"/>
          <w:lang w:val="en-GB"/>
        </w:rPr>
        <w:t>C</w:t>
      </w:r>
      <w:r w:rsidR="0087257E" w:rsidRPr="009C4562">
        <w:rPr>
          <w:rFonts w:ascii="Verdana" w:hAnsi="Verdana"/>
          <w:sz w:val="20"/>
          <w:szCs w:val="20"/>
          <w:u w:val="single"/>
          <w:lang w:val="en-GB"/>
        </w:rPr>
        <w:t>affaro</w:t>
      </w:r>
      <w:proofErr w:type="spellEnd"/>
      <w:r w:rsidRPr="009C4562">
        <w:rPr>
          <w:rFonts w:ascii="Verdana" w:hAnsi="Verdana"/>
          <w:sz w:val="20"/>
          <w:szCs w:val="20"/>
          <w:u w:val="single"/>
          <w:lang w:val="en-GB"/>
        </w:rPr>
        <w:t xml:space="preserve"> </w:t>
      </w:r>
      <w:proofErr w:type="spellStart"/>
      <w:r w:rsidRPr="009C4562">
        <w:rPr>
          <w:rFonts w:ascii="Verdana" w:hAnsi="Verdana"/>
          <w:sz w:val="20"/>
          <w:szCs w:val="20"/>
          <w:u w:val="single"/>
          <w:lang w:val="en-GB"/>
        </w:rPr>
        <w:t>I</w:t>
      </w:r>
      <w:r w:rsidR="0087257E" w:rsidRPr="009C4562">
        <w:rPr>
          <w:rFonts w:ascii="Verdana" w:hAnsi="Verdana"/>
          <w:sz w:val="20"/>
          <w:szCs w:val="20"/>
          <w:u w:val="single"/>
          <w:lang w:val="en-GB"/>
        </w:rPr>
        <w:t>ndustrie</w:t>
      </w:r>
      <w:proofErr w:type="spellEnd"/>
      <w:r w:rsidRPr="009C4562">
        <w:rPr>
          <w:rFonts w:ascii="Verdana" w:hAnsi="Verdana"/>
          <w:sz w:val="20"/>
          <w:szCs w:val="20"/>
          <w:u w:val="single"/>
          <w:lang w:val="en-GB"/>
        </w:rPr>
        <w:t xml:space="preserve"> S</w:t>
      </w:r>
      <w:r w:rsidR="0087257E" w:rsidRPr="009C4562">
        <w:rPr>
          <w:rFonts w:ascii="Verdana" w:hAnsi="Verdana"/>
          <w:sz w:val="20"/>
          <w:szCs w:val="20"/>
          <w:u w:val="single"/>
          <w:lang w:val="en-GB"/>
        </w:rPr>
        <w:t>.</w:t>
      </w:r>
      <w:r w:rsidRPr="009C4562">
        <w:rPr>
          <w:rFonts w:ascii="Verdana" w:hAnsi="Verdana"/>
          <w:sz w:val="20"/>
          <w:szCs w:val="20"/>
          <w:u w:val="single"/>
          <w:lang w:val="en-GB"/>
        </w:rPr>
        <w:t>P</w:t>
      </w:r>
      <w:r w:rsidR="0087257E" w:rsidRPr="009C4562">
        <w:rPr>
          <w:rFonts w:ascii="Verdana" w:hAnsi="Verdana"/>
          <w:sz w:val="20"/>
          <w:szCs w:val="20"/>
          <w:u w:val="single"/>
          <w:lang w:val="en-GB"/>
        </w:rPr>
        <w:t>.</w:t>
      </w:r>
      <w:r w:rsidRPr="009C4562">
        <w:rPr>
          <w:rFonts w:ascii="Verdana" w:hAnsi="Verdana"/>
          <w:sz w:val="20"/>
          <w:szCs w:val="20"/>
          <w:u w:val="single"/>
          <w:lang w:val="en-GB"/>
        </w:rPr>
        <w:t>A</w:t>
      </w:r>
      <w:r w:rsidR="0087257E" w:rsidRPr="009C4562">
        <w:rPr>
          <w:rFonts w:ascii="Verdana" w:hAnsi="Verdana"/>
          <w:sz w:val="20"/>
          <w:szCs w:val="20"/>
          <w:u w:val="single"/>
          <w:lang w:val="en-GB"/>
        </w:rPr>
        <w:t>.,</w:t>
      </w:r>
      <w:r w:rsidRPr="009C4562">
        <w:rPr>
          <w:rFonts w:ascii="Verdana" w:hAnsi="Verdana"/>
          <w:sz w:val="20"/>
          <w:szCs w:val="20"/>
          <w:u w:val="single"/>
          <w:lang w:val="en-GB"/>
        </w:rPr>
        <w:t xml:space="preserve"> </w:t>
      </w:r>
      <w:proofErr w:type="spellStart"/>
      <w:r w:rsidRPr="009C4562">
        <w:rPr>
          <w:rFonts w:ascii="Verdana" w:hAnsi="Verdana"/>
          <w:sz w:val="20"/>
          <w:szCs w:val="20"/>
          <w:u w:val="single"/>
          <w:lang w:val="en-GB"/>
        </w:rPr>
        <w:t>To</w:t>
      </w:r>
      <w:r w:rsidR="00BF777D" w:rsidRPr="009C4562">
        <w:rPr>
          <w:rFonts w:ascii="Verdana" w:hAnsi="Verdana"/>
          <w:sz w:val="20"/>
          <w:szCs w:val="20"/>
          <w:u w:val="single"/>
          <w:lang w:val="en-GB"/>
        </w:rPr>
        <w:t>rviscosa</w:t>
      </w:r>
      <w:proofErr w:type="spellEnd"/>
      <w:r w:rsidR="00BF777D" w:rsidRPr="009C4562">
        <w:rPr>
          <w:rFonts w:ascii="Verdana" w:hAnsi="Verdana"/>
          <w:sz w:val="20"/>
          <w:szCs w:val="20"/>
          <w:u w:val="single"/>
          <w:lang w:val="en-GB"/>
        </w:rPr>
        <w:t xml:space="preserve"> (U</w:t>
      </w:r>
      <w:r w:rsidR="0087257E" w:rsidRPr="009C4562">
        <w:rPr>
          <w:rFonts w:ascii="Verdana" w:hAnsi="Verdana"/>
          <w:sz w:val="20"/>
          <w:szCs w:val="20"/>
          <w:u w:val="single"/>
          <w:lang w:val="en-GB"/>
        </w:rPr>
        <w:t>dine</w:t>
      </w:r>
      <w:r w:rsidR="00BF777D" w:rsidRPr="009C4562">
        <w:rPr>
          <w:rFonts w:ascii="Verdana" w:hAnsi="Verdana"/>
          <w:sz w:val="20"/>
          <w:szCs w:val="20"/>
          <w:u w:val="single"/>
          <w:lang w:val="en-GB"/>
        </w:rPr>
        <w:t>)</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Italy</w:t>
      </w:r>
      <w:r w:rsidR="00BF777D" w:rsidRPr="009C4562">
        <w:rPr>
          <w:rFonts w:ascii="Verdana" w:hAnsi="Verdana"/>
          <w:sz w:val="20"/>
          <w:szCs w:val="20"/>
          <w:u w:val="single"/>
          <w:lang w:val="en-GB"/>
        </w:rPr>
        <w:tab/>
      </w:r>
    </w:p>
    <w:p w14:paraId="57F61FCF" w14:textId="77777777" w:rsidR="009C4562" w:rsidRPr="009C4562" w:rsidRDefault="00FE215A" w:rsidP="00583667">
      <w:pPr>
        <w:pStyle w:val="ListParagraph"/>
        <w:numPr>
          <w:ilvl w:val="0"/>
          <w:numId w:val="13"/>
        </w:numPr>
        <w:spacing w:after="0"/>
        <w:jc w:val="both"/>
        <w:rPr>
          <w:rFonts w:ascii="Verdana" w:hAnsi="Verdana"/>
          <w:sz w:val="20"/>
          <w:szCs w:val="20"/>
          <w:lang w:val="en-GB"/>
        </w:rPr>
      </w:pPr>
      <w:proofErr w:type="spellStart"/>
      <w:r w:rsidRPr="009C4562">
        <w:rPr>
          <w:rFonts w:ascii="Verdana" w:hAnsi="Verdana"/>
          <w:sz w:val="20"/>
          <w:szCs w:val="20"/>
          <w:u w:val="single"/>
          <w:lang w:val="en-GB"/>
        </w:rPr>
        <w:t>F</w:t>
      </w:r>
      <w:r w:rsidR="0087257E" w:rsidRPr="009C4562">
        <w:rPr>
          <w:rFonts w:ascii="Verdana" w:hAnsi="Verdana"/>
          <w:sz w:val="20"/>
          <w:szCs w:val="20"/>
          <w:u w:val="single"/>
          <w:lang w:val="en-GB"/>
        </w:rPr>
        <w:t>ortischem</w:t>
      </w:r>
      <w:proofErr w:type="spellEnd"/>
      <w:r w:rsidRPr="009C4562">
        <w:rPr>
          <w:rFonts w:ascii="Verdana" w:hAnsi="Verdana"/>
          <w:sz w:val="20"/>
          <w:szCs w:val="20"/>
          <w:u w:val="single"/>
          <w:lang w:val="en-GB"/>
        </w:rPr>
        <w:t xml:space="preserve"> </w:t>
      </w:r>
      <w:proofErr w:type="spellStart"/>
      <w:r w:rsidRPr="009C4562">
        <w:rPr>
          <w:rFonts w:ascii="Verdana" w:hAnsi="Verdana"/>
          <w:sz w:val="20"/>
          <w:szCs w:val="20"/>
          <w:u w:val="single"/>
          <w:lang w:val="en-GB"/>
        </w:rPr>
        <w:t>a.s</w:t>
      </w:r>
      <w:proofErr w:type="spellEnd"/>
      <w:r w:rsidRPr="009C4562">
        <w:rPr>
          <w:rFonts w:ascii="Verdana" w:hAnsi="Verdana"/>
          <w:sz w:val="20"/>
          <w:szCs w:val="20"/>
          <w:u w:val="single"/>
          <w:lang w:val="en-GB"/>
        </w:rPr>
        <w:t>.</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w:t>
      </w:r>
      <w:proofErr w:type="spellStart"/>
      <w:r w:rsidR="00BF777D" w:rsidRPr="009C4562">
        <w:rPr>
          <w:rFonts w:ascii="Verdana" w:hAnsi="Verdana"/>
          <w:sz w:val="20"/>
          <w:szCs w:val="20"/>
          <w:u w:val="single"/>
          <w:lang w:val="en-GB"/>
        </w:rPr>
        <w:t>Novaky</w:t>
      </w:r>
      <w:proofErr w:type="spellEnd"/>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Slovakia</w:t>
      </w:r>
    </w:p>
    <w:p w14:paraId="1F4EEBE5" w14:textId="61E492EF" w:rsidR="00FE215A" w:rsidRPr="009C4562" w:rsidRDefault="00FE215A" w:rsidP="00583667">
      <w:pPr>
        <w:pStyle w:val="ListParagraph"/>
        <w:numPr>
          <w:ilvl w:val="0"/>
          <w:numId w:val="13"/>
        </w:numPr>
        <w:spacing w:after="0"/>
        <w:jc w:val="both"/>
        <w:rPr>
          <w:rFonts w:ascii="Verdana" w:hAnsi="Verdana"/>
          <w:sz w:val="20"/>
          <w:szCs w:val="20"/>
          <w:u w:val="single"/>
          <w:lang w:val="en-GB"/>
        </w:rPr>
      </w:pPr>
      <w:r w:rsidRPr="009C4562">
        <w:rPr>
          <w:rFonts w:ascii="Verdana" w:hAnsi="Verdana"/>
          <w:sz w:val="20"/>
          <w:szCs w:val="20"/>
          <w:u w:val="single"/>
          <w:lang w:val="en-GB"/>
        </w:rPr>
        <w:t>I</w:t>
      </w:r>
      <w:r w:rsidR="0087257E" w:rsidRPr="009C4562">
        <w:rPr>
          <w:rFonts w:ascii="Verdana" w:hAnsi="Verdana"/>
          <w:sz w:val="20"/>
          <w:szCs w:val="20"/>
          <w:u w:val="single"/>
          <w:lang w:val="en-GB"/>
        </w:rPr>
        <w:t>novyn</w:t>
      </w:r>
      <w:r w:rsidRPr="009C4562">
        <w:rPr>
          <w:rFonts w:ascii="Verdana" w:hAnsi="Verdana"/>
          <w:sz w:val="20"/>
          <w:szCs w:val="20"/>
          <w:u w:val="single"/>
          <w:lang w:val="en-GB"/>
        </w:rPr>
        <w:t xml:space="preserve"> </w:t>
      </w:r>
      <w:proofErr w:type="spellStart"/>
      <w:r w:rsidRPr="009C4562">
        <w:rPr>
          <w:rFonts w:ascii="Verdana" w:hAnsi="Verdana"/>
          <w:sz w:val="20"/>
          <w:szCs w:val="20"/>
          <w:u w:val="single"/>
          <w:lang w:val="en-GB"/>
        </w:rPr>
        <w:t>Chlorvinyls</w:t>
      </w:r>
      <w:proofErr w:type="spellEnd"/>
      <w:r w:rsidRPr="009C4562">
        <w:rPr>
          <w:rFonts w:ascii="Verdana" w:hAnsi="Verdana"/>
          <w:sz w:val="20"/>
          <w:szCs w:val="20"/>
          <w:u w:val="single"/>
          <w:lang w:val="en-GB"/>
        </w:rPr>
        <w:t xml:space="preserve"> Limited</w:t>
      </w:r>
      <w:r w:rsidR="0087257E" w:rsidRPr="009C4562">
        <w:rPr>
          <w:rFonts w:ascii="Verdana" w:hAnsi="Verdana"/>
          <w:sz w:val="20"/>
          <w:szCs w:val="20"/>
          <w:u w:val="single"/>
          <w:lang w:val="en-GB"/>
        </w:rPr>
        <w:t>,</w:t>
      </w:r>
      <w:r w:rsidRPr="009C4562">
        <w:rPr>
          <w:rFonts w:ascii="Verdana" w:hAnsi="Verdana"/>
          <w:sz w:val="20"/>
          <w:szCs w:val="20"/>
          <w:u w:val="single"/>
          <w:lang w:val="en-GB"/>
        </w:rPr>
        <w:t xml:space="preserve"> Ru</w:t>
      </w:r>
      <w:r w:rsidR="00BF777D" w:rsidRPr="009C4562">
        <w:rPr>
          <w:rFonts w:ascii="Verdana" w:hAnsi="Verdana"/>
          <w:sz w:val="20"/>
          <w:szCs w:val="20"/>
          <w:u w:val="single"/>
          <w:lang w:val="en-GB"/>
        </w:rPr>
        <w:t>ncorn</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United Kingdom</w:t>
      </w:r>
    </w:p>
    <w:p w14:paraId="5312564D" w14:textId="567B2021" w:rsidR="0087257E" w:rsidRPr="009C4562" w:rsidRDefault="0087257E" w:rsidP="00583667">
      <w:pPr>
        <w:pStyle w:val="ListParagraph"/>
        <w:numPr>
          <w:ilvl w:val="0"/>
          <w:numId w:val="13"/>
        </w:numPr>
        <w:spacing w:after="0"/>
        <w:jc w:val="both"/>
        <w:rPr>
          <w:rFonts w:ascii="Verdana" w:hAnsi="Verdana"/>
          <w:sz w:val="20"/>
          <w:szCs w:val="20"/>
          <w:lang w:val="en-GB"/>
        </w:rPr>
      </w:pPr>
      <w:proofErr w:type="spellStart"/>
      <w:r w:rsidRPr="009C4562">
        <w:rPr>
          <w:rFonts w:ascii="Verdana" w:hAnsi="Verdana"/>
          <w:sz w:val="20"/>
          <w:szCs w:val="20"/>
          <w:lang w:val="en-GB"/>
        </w:rPr>
        <w:t>Kaustik</w:t>
      </w:r>
      <w:proofErr w:type="spellEnd"/>
      <w:r w:rsidRPr="009C4562">
        <w:rPr>
          <w:rFonts w:ascii="Verdana" w:hAnsi="Verdana"/>
          <w:sz w:val="20"/>
          <w:szCs w:val="20"/>
          <w:lang w:val="en-GB"/>
        </w:rPr>
        <w:t xml:space="preserve"> Europe B.V</w:t>
      </w:r>
      <w:r w:rsidR="00FE215A" w:rsidRPr="009C4562">
        <w:rPr>
          <w:rFonts w:ascii="Verdana" w:hAnsi="Verdana"/>
          <w:sz w:val="20"/>
          <w:szCs w:val="20"/>
          <w:lang w:val="en-GB"/>
        </w:rPr>
        <w:t>.</w:t>
      </w:r>
      <w:r w:rsidRPr="009C4562">
        <w:rPr>
          <w:rFonts w:ascii="Verdana" w:hAnsi="Verdana"/>
          <w:sz w:val="20"/>
          <w:szCs w:val="20"/>
          <w:lang w:val="en-GB"/>
        </w:rPr>
        <w:t>,</w:t>
      </w:r>
      <w:r w:rsidR="00BF777D" w:rsidRPr="009C4562">
        <w:rPr>
          <w:rFonts w:ascii="Verdana" w:hAnsi="Verdana"/>
          <w:sz w:val="20"/>
          <w:szCs w:val="20"/>
          <w:lang w:val="en-GB"/>
        </w:rPr>
        <w:t xml:space="preserve"> </w:t>
      </w:r>
      <w:proofErr w:type="spellStart"/>
      <w:r w:rsidR="00BF777D" w:rsidRPr="009C4562">
        <w:rPr>
          <w:rFonts w:ascii="Verdana" w:hAnsi="Verdana"/>
          <w:sz w:val="20"/>
          <w:szCs w:val="20"/>
          <w:lang w:val="en-GB"/>
        </w:rPr>
        <w:t>Barendrecht</w:t>
      </w:r>
      <w:proofErr w:type="spellEnd"/>
      <w:r w:rsidRPr="009C4562">
        <w:rPr>
          <w:rFonts w:ascii="Verdana" w:hAnsi="Verdana"/>
          <w:sz w:val="20"/>
          <w:szCs w:val="20"/>
          <w:lang w:val="en-GB"/>
        </w:rPr>
        <w:t>,</w:t>
      </w:r>
      <w:r w:rsidR="00BF777D" w:rsidRPr="009C4562">
        <w:rPr>
          <w:rFonts w:ascii="Verdana" w:hAnsi="Verdana"/>
          <w:sz w:val="20"/>
          <w:szCs w:val="20"/>
          <w:lang w:val="en-GB"/>
        </w:rPr>
        <w:t xml:space="preserve"> </w:t>
      </w:r>
      <w:r w:rsidRPr="009C4562">
        <w:rPr>
          <w:rFonts w:ascii="Verdana" w:hAnsi="Verdana"/>
          <w:sz w:val="20"/>
          <w:szCs w:val="20"/>
          <w:lang w:val="en-GB"/>
        </w:rPr>
        <w:t>The Netherlands</w:t>
      </w:r>
    </w:p>
    <w:p w14:paraId="0185AE67" w14:textId="7F77D0AB" w:rsidR="0087257E" w:rsidRPr="009C4562" w:rsidRDefault="0087257E" w:rsidP="00583667">
      <w:pPr>
        <w:pStyle w:val="ListParagraph"/>
        <w:numPr>
          <w:ilvl w:val="0"/>
          <w:numId w:val="13"/>
        </w:numPr>
        <w:spacing w:after="0"/>
        <w:jc w:val="both"/>
        <w:rPr>
          <w:rFonts w:ascii="Verdana" w:hAnsi="Verdana"/>
          <w:sz w:val="20"/>
          <w:szCs w:val="20"/>
          <w:lang w:val="en-GB"/>
        </w:rPr>
      </w:pPr>
      <w:r w:rsidRPr="009C4562">
        <w:rPr>
          <w:rFonts w:ascii="Verdana" w:hAnsi="Verdana"/>
          <w:sz w:val="20"/>
          <w:szCs w:val="20"/>
          <w:lang w:val="en-GB"/>
        </w:rPr>
        <w:t xml:space="preserve">Prakash Chemicals Europe B.V., Rotterdam, The Netherlands </w:t>
      </w:r>
    </w:p>
    <w:p w14:paraId="233449B3" w14:textId="4B9BE1D1" w:rsidR="00FE215A" w:rsidRPr="009C4562" w:rsidRDefault="00FE215A" w:rsidP="00943C49">
      <w:pPr>
        <w:pStyle w:val="ListParagraph"/>
        <w:numPr>
          <w:ilvl w:val="0"/>
          <w:numId w:val="13"/>
        </w:numPr>
        <w:spacing w:after="0"/>
        <w:jc w:val="both"/>
        <w:rPr>
          <w:rFonts w:ascii="Verdana" w:hAnsi="Verdana"/>
          <w:sz w:val="20"/>
          <w:szCs w:val="20"/>
          <w:u w:val="single"/>
          <w:lang w:val="en-GB"/>
        </w:rPr>
      </w:pPr>
      <w:proofErr w:type="spellStart"/>
      <w:r w:rsidRPr="009C4562">
        <w:rPr>
          <w:rFonts w:ascii="Verdana" w:hAnsi="Verdana"/>
          <w:sz w:val="20"/>
          <w:szCs w:val="20"/>
          <w:u w:val="single"/>
          <w:lang w:val="en-GB"/>
        </w:rPr>
        <w:t>Leuna-Tenside</w:t>
      </w:r>
      <w:proofErr w:type="spellEnd"/>
      <w:r w:rsidRPr="009C4562">
        <w:rPr>
          <w:rFonts w:ascii="Verdana" w:hAnsi="Verdana"/>
          <w:sz w:val="20"/>
          <w:szCs w:val="20"/>
          <w:u w:val="single"/>
          <w:lang w:val="en-GB"/>
        </w:rPr>
        <w:t xml:space="preserve"> GmbH</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w:t>
      </w:r>
      <w:proofErr w:type="spellStart"/>
      <w:r w:rsidR="00BF777D" w:rsidRPr="009C4562">
        <w:rPr>
          <w:rFonts w:ascii="Verdana" w:hAnsi="Verdana"/>
          <w:sz w:val="20"/>
          <w:szCs w:val="20"/>
          <w:u w:val="single"/>
          <w:lang w:val="en-GB"/>
        </w:rPr>
        <w:t>Leuna</w:t>
      </w:r>
      <w:proofErr w:type="spellEnd"/>
      <w:r w:rsidR="0087257E" w:rsidRPr="009C4562">
        <w:rPr>
          <w:rFonts w:ascii="Verdana" w:hAnsi="Verdana"/>
          <w:sz w:val="20"/>
          <w:szCs w:val="20"/>
          <w:u w:val="single"/>
          <w:lang w:val="en-GB"/>
        </w:rPr>
        <w:t>, Germany</w:t>
      </w:r>
    </w:p>
    <w:p w14:paraId="0F939486" w14:textId="1ED88C40" w:rsidR="00FE215A" w:rsidRPr="009C4562" w:rsidRDefault="00FE215A" w:rsidP="00943C49">
      <w:pPr>
        <w:pStyle w:val="ListParagraph"/>
        <w:numPr>
          <w:ilvl w:val="0"/>
          <w:numId w:val="13"/>
        </w:numPr>
        <w:spacing w:after="0"/>
        <w:jc w:val="both"/>
        <w:rPr>
          <w:rFonts w:ascii="Verdana" w:hAnsi="Verdana"/>
          <w:sz w:val="20"/>
          <w:szCs w:val="20"/>
          <w:u w:val="single"/>
          <w:lang w:val="en-GB"/>
        </w:rPr>
      </w:pPr>
      <w:proofErr w:type="spellStart"/>
      <w:r w:rsidRPr="009C4562">
        <w:rPr>
          <w:rFonts w:ascii="Verdana" w:hAnsi="Verdana"/>
          <w:sz w:val="20"/>
          <w:szCs w:val="20"/>
          <w:u w:val="single"/>
          <w:lang w:val="en-GB"/>
        </w:rPr>
        <w:t>Q</w:t>
      </w:r>
      <w:r w:rsidR="0087257E" w:rsidRPr="009C4562">
        <w:rPr>
          <w:rFonts w:ascii="Verdana" w:hAnsi="Verdana"/>
          <w:sz w:val="20"/>
          <w:szCs w:val="20"/>
          <w:u w:val="single"/>
          <w:lang w:val="en-GB"/>
        </w:rPr>
        <w:t>uimica</w:t>
      </w:r>
      <w:proofErr w:type="spellEnd"/>
      <w:r w:rsidR="0087257E" w:rsidRPr="009C4562">
        <w:rPr>
          <w:rFonts w:ascii="Verdana" w:hAnsi="Verdana"/>
          <w:sz w:val="20"/>
          <w:szCs w:val="20"/>
          <w:u w:val="single"/>
          <w:lang w:val="en-GB"/>
        </w:rPr>
        <w:t xml:space="preserve"> Del </w:t>
      </w:r>
      <w:proofErr w:type="spellStart"/>
      <w:r w:rsidR="0087257E" w:rsidRPr="009C4562">
        <w:rPr>
          <w:rFonts w:ascii="Verdana" w:hAnsi="Verdana"/>
          <w:sz w:val="20"/>
          <w:szCs w:val="20"/>
          <w:u w:val="single"/>
          <w:lang w:val="en-GB"/>
        </w:rPr>
        <w:t>Cinca</w:t>
      </w:r>
      <w:proofErr w:type="spellEnd"/>
      <w:r w:rsidRPr="009C4562">
        <w:rPr>
          <w:rFonts w:ascii="Verdana" w:hAnsi="Verdana"/>
          <w:sz w:val="20"/>
          <w:szCs w:val="20"/>
          <w:u w:val="single"/>
          <w:lang w:val="en-GB"/>
        </w:rPr>
        <w:t xml:space="preserve"> S.L.</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Barcelona</w:t>
      </w:r>
      <w:r w:rsidR="0087257E" w:rsidRPr="009C4562">
        <w:rPr>
          <w:rFonts w:ascii="Verdana" w:hAnsi="Verdana"/>
          <w:sz w:val="20"/>
          <w:szCs w:val="20"/>
          <w:u w:val="single"/>
          <w:lang w:val="en-GB"/>
        </w:rPr>
        <w:t>,</w:t>
      </w:r>
      <w:r w:rsidR="00BF777D" w:rsidRPr="009C4562">
        <w:rPr>
          <w:rFonts w:ascii="Verdana" w:hAnsi="Verdana"/>
          <w:sz w:val="20"/>
          <w:szCs w:val="20"/>
          <w:u w:val="single"/>
          <w:lang w:val="en-GB"/>
        </w:rPr>
        <w:t xml:space="preserve"> Spain</w:t>
      </w:r>
    </w:p>
    <w:p w14:paraId="2BB596B9" w14:textId="1674FFA8" w:rsidR="00FE215A" w:rsidRPr="0009300F" w:rsidRDefault="00FE215A" w:rsidP="00943C49">
      <w:pPr>
        <w:pStyle w:val="ListParagraph"/>
        <w:numPr>
          <w:ilvl w:val="0"/>
          <w:numId w:val="13"/>
        </w:numPr>
        <w:spacing w:after="0"/>
        <w:jc w:val="both"/>
        <w:rPr>
          <w:rFonts w:ascii="Verdana" w:hAnsi="Verdana"/>
          <w:sz w:val="20"/>
          <w:szCs w:val="20"/>
          <w:lang w:val="en-GB"/>
        </w:rPr>
      </w:pPr>
      <w:proofErr w:type="spellStart"/>
      <w:r w:rsidRPr="0009300F">
        <w:rPr>
          <w:rFonts w:ascii="Verdana" w:hAnsi="Verdana"/>
          <w:sz w:val="20"/>
          <w:szCs w:val="20"/>
          <w:lang w:val="en-GB"/>
        </w:rPr>
        <w:t>REACHLaw</w:t>
      </w:r>
      <w:proofErr w:type="spellEnd"/>
      <w:r w:rsidRPr="0009300F">
        <w:rPr>
          <w:rFonts w:ascii="Verdana" w:hAnsi="Verdana"/>
          <w:sz w:val="20"/>
          <w:szCs w:val="20"/>
          <w:lang w:val="en-GB"/>
        </w:rPr>
        <w:t xml:space="preserve"> Ltd (acting as OR for KLJ Organic Limited)</w:t>
      </w:r>
      <w:r w:rsidR="0087257E">
        <w:rPr>
          <w:rFonts w:ascii="Verdana" w:hAnsi="Verdana"/>
          <w:sz w:val="20"/>
          <w:szCs w:val="20"/>
          <w:lang w:val="en-GB"/>
        </w:rPr>
        <w:t>,</w:t>
      </w:r>
      <w:r w:rsidRPr="0009300F">
        <w:rPr>
          <w:rFonts w:ascii="Verdana" w:hAnsi="Verdana"/>
          <w:sz w:val="20"/>
          <w:szCs w:val="20"/>
          <w:lang w:val="en-GB"/>
        </w:rPr>
        <w:t xml:space="preserve"> Espoo</w:t>
      </w:r>
      <w:r w:rsidR="0087257E">
        <w:rPr>
          <w:rFonts w:ascii="Verdana" w:hAnsi="Verdana"/>
          <w:sz w:val="20"/>
          <w:szCs w:val="20"/>
          <w:lang w:val="en-GB"/>
        </w:rPr>
        <w:t>,</w:t>
      </w:r>
      <w:r w:rsidRPr="0009300F">
        <w:rPr>
          <w:rFonts w:ascii="Verdana" w:hAnsi="Verdana"/>
          <w:sz w:val="20"/>
          <w:szCs w:val="20"/>
          <w:lang w:val="en-GB"/>
        </w:rPr>
        <w:t xml:space="preserve"> Fi</w:t>
      </w:r>
      <w:r w:rsidR="009C4562">
        <w:rPr>
          <w:rFonts w:ascii="Verdana" w:hAnsi="Verdana"/>
          <w:sz w:val="20"/>
          <w:szCs w:val="20"/>
          <w:lang w:val="en-GB"/>
        </w:rPr>
        <w:t>nland</w:t>
      </w:r>
      <w:r w:rsidR="00BF777D" w:rsidRPr="0009300F">
        <w:rPr>
          <w:rFonts w:ascii="Verdana" w:hAnsi="Verdana"/>
          <w:sz w:val="20"/>
          <w:szCs w:val="20"/>
          <w:lang w:val="en-GB"/>
        </w:rPr>
        <w:tab/>
      </w:r>
    </w:p>
    <w:p w14:paraId="3712198E" w14:textId="6C83E5E4" w:rsidR="00B00F0F" w:rsidRPr="0009300F" w:rsidRDefault="00FE215A" w:rsidP="00943C49">
      <w:pPr>
        <w:pStyle w:val="ListParagraph"/>
        <w:numPr>
          <w:ilvl w:val="0"/>
          <w:numId w:val="13"/>
        </w:numPr>
        <w:spacing w:after="0"/>
        <w:jc w:val="both"/>
        <w:rPr>
          <w:rFonts w:ascii="Verdana" w:hAnsi="Verdana"/>
          <w:sz w:val="20"/>
          <w:szCs w:val="20"/>
          <w:lang w:val="en-GB"/>
        </w:rPr>
      </w:pPr>
      <w:r w:rsidRPr="0009300F">
        <w:rPr>
          <w:rFonts w:ascii="Verdana" w:hAnsi="Verdana"/>
          <w:sz w:val="20"/>
          <w:szCs w:val="20"/>
          <w:lang w:val="en-GB"/>
        </w:rPr>
        <w:t>Sustainability Support Services (Europe) AB</w:t>
      </w:r>
      <w:r w:rsidR="0087257E">
        <w:rPr>
          <w:rFonts w:ascii="Verdana" w:hAnsi="Verdana"/>
          <w:sz w:val="20"/>
          <w:szCs w:val="20"/>
          <w:lang w:val="en-GB"/>
        </w:rPr>
        <w:t>,</w:t>
      </w:r>
      <w:r w:rsidRPr="0009300F">
        <w:rPr>
          <w:rFonts w:ascii="Verdana" w:hAnsi="Verdana"/>
          <w:sz w:val="20"/>
          <w:szCs w:val="20"/>
          <w:lang w:val="en-GB"/>
        </w:rPr>
        <w:t xml:space="preserve"> Lund</w:t>
      </w:r>
      <w:r w:rsidR="0087257E">
        <w:rPr>
          <w:rFonts w:ascii="Verdana" w:hAnsi="Verdana"/>
          <w:sz w:val="20"/>
          <w:szCs w:val="20"/>
          <w:lang w:val="en-GB"/>
        </w:rPr>
        <w:t>,</w:t>
      </w:r>
      <w:r w:rsidRPr="0009300F">
        <w:rPr>
          <w:rFonts w:ascii="Verdana" w:hAnsi="Verdana"/>
          <w:sz w:val="20"/>
          <w:szCs w:val="20"/>
          <w:lang w:val="en-GB"/>
        </w:rPr>
        <w:t xml:space="preserve"> Sweden</w:t>
      </w:r>
      <w:r w:rsidRPr="0009300F">
        <w:rPr>
          <w:rFonts w:ascii="Verdana" w:hAnsi="Verdana"/>
          <w:sz w:val="20"/>
          <w:szCs w:val="20"/>
          <w:lang w:val="en-GB"/>
        </w:rPr>
        <w:tab/>
      </w:r>
    </w:p>
    <w:p w14:paraId="5C70E9E9" w14:textId="77777777" w:rsidR="0087257E" w:rsidRPr="0087257E" w:rsidRDefault="0087257E" w:rsidP="0087257E">
      <w:pPr>
        <w:pStyle w:val="BodyText"/>
        <w:rPr>
          <w:rFonts w:ascii="Verdana" w:hAnsi="Verdana"/>
          <w:sz w:val="20"/>
        </w:rPr>
      </w:pPr>
    </w:p>
    <w:p w14:paraId="72CA6ECD" w14:textId="192439A0" w:rsidR="0087257E" w:rsidRPr="0087257E" w:rsidRDefault="000578F2" w:rsidP="0087257E">
      <w:pPr>
        <w:pStyle w:val="BodyText"/>
        <w:rPr>
          <w:rFonts w:ascii="Verdana" w:hAnsi="Verdana"/>
          <w:sz w:val="20"/>
        </w:rPr>
      </w:pPr>
      <w:r>
        <w:rPr>
          <w:rFonts w:ascii="Verdana" w:hAnsi="Verdana"/>
          <w:sz w:val="20"/>
        </w:rPr>
        <w:t>MCCPs</w:t>
      </w:r>
      <w:r w:rsidR="0087257E" w:rsidRPr="0087257E">
        <w:rPr>
          <w:rFonts w:ascii="Verdana" w:hAnsi="Verdana"/>
          <w:sz w:val="20"/>
        </w:rPr>
        <w:t xml:space="preserve"> may also be imported into the EU in finished or semi-finished articles (e.g. textiles, electrical items). </w:t>
      </w:r>
      <w:r w:rsidR="0087257E">
        <w:rPr>
          <w:rFonts w:ascii="Verdana" w:hAnsi="Verdana"/>
          <w:sz w:val="20"/>
        </w:rPr>
        <w:t>A</w:t>
      </w:r>
      <w:r w:rsidR="0087257E" w:rsidRPr="0087257E">
        <w:rPr>
          <w:rFonts w:ascii="Verdana" w:hAnsi="Verdana"/>
          <w:sz w:val="20"/>
        </w:rPr>
        <w:t>cademic literature suggests a global production in excess of 600</w:t>
      </w:r>
      <w:r w:rsidR="00861D95">
        <w:rPr>
          <w:rFonts w:ascii="Verdana" w:hAnsi="Verdana"/>
          <w:sz w:val="20"/>
        </w:rPr>
        <w:t xml:space="preserve"> </w:t>
      </w:r>
      <w:r w:rsidR="0087257E" w:rsidRPr="0087257E">
        <w:rPr>
          <w:rFonts w:ascii="Verdana" w:hAnsi="Verdana"/>
          <w:sz w:val="20"/>
        </w:rPr>
        <w:t>000 tonnes/year, with the majority produced in China (</w:t>
      </w:r>
      <w:proofErr w:type="spellStart"/>
      <w:r w:rsidR="0087257E" w:rsidRPr="0087257E">
        <w:rPr>
          <w:rFonts w:ascii="Verdana" w:hAnsi="Verdana"/>
          <w:sz w:val="20"/>
        </w:rPr>
        <w:t>Gluge</w:t>
      </w:r>
      <w:proofErr w:type="spellEnd"/>
      <w:r w:rsidR="0087257E" w:rsidRPr="0087257E">
        <w:rPr>
          <w:rFonts w:ascii="Verdana" w:hAnsi="Verdana"/>
          <w:sz w:val="20"/>
        </w:rPr>
        <w:t xml:space="preserve"> </w:t>
      </w:r>
      <w:r w:rsidR="0087257E" w:rsidRPr="0087257E">
        <w:rPr>
          <w:rFonts w:ascii="Verdana" w:hAnsi="Verdana"/>
          <w:i/>
          <w:sz w:val="20"/>
        </w:rPr>
        <w:t>et al</w:t>
      </w:r>
      <w:r w:rsidR="0087257E" w:rsidRPr="0087257E">
        <w:rPr>
          <w:rFonts w:ascii="Verdana" w:hAnsi="Verdana"/>
          <w:sz w:val="20"/>
        </w:rPr>
        <w:t xml:space="preserve">., 2018). The total mass of </w:t>
      </w:r>
      <w:r>
        <w:rPr>
          <w:rFonts w:ascii="Verdana" w:hAnsi="Verdana"/>
          <w:sz w:val="20"/>
        </w:rPr>
        <w:t>MCCPs</w:t>
      </w:r>
      <w:r w:rsidR="0087257E" w:rsidRPr="0087257E">
        <w:rPr>
          <w:rFonts w:ascii="Verdana" w:hAnsi="Verdana"/>
          <w:sz w:val="20"/>
        </w:rPr>
        <w:t xml:space="preserve"> entering the E</w:t>
      </w:r>
      <w:r w:rsidR="0087257E">
        <w:rPr>
          <w:rFonts w:ascii="Verdana" w:hAnsi="Verdana"/>
          <w:sz w:val="20"/>
        </w:rPr>
        <w:t>U</w:t>
      </w:r>
      <w:r w:rsidR="0087257E" w:rsidRPr="0087257E">
        <w:rPr>
          <w:rFonts w:ascii="Verdana" w:hAnsi="Verdana"/>
          <w:sz w:val="20"/>
        </w:rPr>
        <w:t xml:space="preserve"> in imported articles is unknown, so it is not possible to gain a full insight into stocks and mass flows. </w:t>
      </w:r>
      <w:r w:rsidR="00E330FB" w:rsidRPr="009C4562">
        <w:rPr>
          <w:rFonts w:ascii="Verdana" w:hAnsi="Verdana"/>
          <w:sz w:val="20"/>
        </w:rPr>
        <w:t xml:space="preserve">The Swedish </w:t>
      </w:r>
      <w:r w:rsidR="00F77520">
        <w:rPr>
          <w:rFonts w:ascii="Verdana" w:hAnsi="Verdana"/>
          <w:sz w:val="20"/>
        </w:rPr>
        <w:t>RoHS</w:t>
      </w:r>
      <w:r w:rsidR="00E70CFC" w:rsidRPr="009C4562">
        <w:rPr>
          <w:rFonts w:ascii="Verdana" w:hAnsi="Verdana"/>
          <w:sz w:val="20"/>
        </w:rPr>
        <w:t xml:space="preserve"> Annex II </w:t>
      </w:r>
      <w:r w:rsidR="00AF3CB0" w:rsidRPr="009C4562">
        <w:rPr>
          <w:rFonts w:ascii="Verdana" w:hAnsi="Verdana"/>
          <w:sz w:val="20"/>
        </w:rPr>
        <w:t>Dossier</w:t>
      </w:r>
      <w:r w:rsidR="00E70CFC" w:rsidRPr="009C4562">
        <w:rPr>
          <w:rFonts w:ascii="Verdana" w:hAnsi="Verdana"/>
          <w:sz w:val="20"/>
        </w:rPr>
        <w:t xml:space="preserve"> (KEMI, 2018) estimated that the EU imported approximately 2</w:t>
      </w:r>
      <w:r w:rsidR="00861D95">
        <w:rPr>
          <w:rFonts w:ascii="Verdana" w:hAnsi="Verdana"/>
          <w:sz w:val="20"/>
        </w:rPr>
        <w:t xml:space="preserve"> </w:t>
      </w:r>
      <w:r w:rsidR="00E70CFC" w:rsidRPr="009C4562">
        <w:rPr>
          <w:rFonts w:ascii="Verdana" w:hAnsi="Verdana"/>
          <w:sz w:val="20"/>
        </w:rPr>
        <w:t xml:space="preserve">100 tonnes of </w:t>
      </w:r>
      <w:r>
        <w:rPr>
          <w:rFonts w:ascii="Verdana" w:hAnsi="Verdana"/>
          <w:sz w:val="20"/>
        </w:rPr>
        <w:t>MCCPs</w:t>
      </w:r>
      <w:r w:rsidR="00E70CFC" w:rsidRPr="009C4562">
        <w:rPr>
          <w:rFonts w:ascii="Verdana" w:hAnsi="Verdana"/>
          <w:sz w:val="20"/>
        </w:rPr>
        <w:t xml:space="preserve"> in electrical cables in 2014.</w:t>
      </w:r>
      <w:r w:rsidR="00E70CFC">
        <w:rPr>
          <w:rFonts w:ascii="Verdana" w:hAnsi="Verdana"/>
          <w:sz w:val="20"/>
        </w:rPr>
        <w:t xml:space="preserve"> </w:t>
      </w:r>
    </w:p>
    <w:p w14:paraId="46F73213" w14:textId="77777777" w:rsidR="00B00F0F" w:rsidRPr="001B0749" w:rsidRDefault="00B00F0F" w:rsidP="00B00F0F">
      <w:pPr>
        <w:spacing w:after="0"/>
        <w:jc w:val="both"/>
        <w:rPr>
          <w:rFonts w:ascii="Verdana" w:hAnsi="Verdana"/>
          <w:sz w:val="20"/>
          <w:szCs w:val="20"/>
          <w:lang w:val="en-GB"/>
        </w:rPr>
      </w:pPr>
    </w:p>
    <w:p w14:paraId="39B96AC5" w14:textId="77777777" w:rsidR="00336750" w:rsidRPr="00336750" w:rsidRDefault="00336750" w:rsidP="00336750">
      <w:pPr>
        <w:pStyle w:val="Heading2"/>
        <w:tabs>
          <w:tab w:val="clear" w:pos="839"/>
          <w:tab w:val="num" w:pos="540"/>
        </w:tabs>
        <w:spacing w:before="240"/>
        <w:ind w:left="540" w:hanging="540"/>
        <w:rPr>
          <w:szCs w:val="24"/>
        </w:rPr>
      </w:pPr>
      <w:r>
        <w:rPr>
          <w:szCs w:val="24"/>
        </w:rPr>
        <w:lastRenderedPageBreak/>
        <w:t xml:space="preserve">Overview of uses </w:t>
      </w:r>
      <w:bookmarkEnd w:id="28"/>
    </w:p>
    <w:p w14:paraId="5BC65609" w14:textId="65F29CF3" w:rsidR="001D38BF" w:rsidRDefault="000578F2" w:rsidP="00D74ADF">
      <w:pPr>
        <w:pStyle w:val="BodyText"/>
        <w:rPr>
          <w:rFonts w:ascii="Verdana" w:hAnsi="Verdana"/>
          <w:sz w:val="20"/>
        </w:rPr>
      </w:pPr>
      <w:r>
        <w:rPr>
          <w:rFonts w:ascii="Verdana" w:hAnsi="Verdana"/>
          <w:sz w:val="20"/>
        </w:rPr>
        <w:t>MCCPs</w:t>
      </w:r>
      <w:r w:rsidR="00607BBD">
        <w:rPr>
          <w:rFonts w:ascii="Verdana" w:hAnsi="Verdana"/>
          <w:sz w:val="20"/>
        </w:rPr>
        <w:t xml:space="preserve"> </w:t>
      </w:r>
      <w:r w:rsidR="00AA12BC">
        <w:rPr>
          <w:rFonts w:ascii="Verdana" w:hAnsi="Verdana"/>
          <w:sz w:val="20"/>
        </w:rPr>
        <w:t>principally</w:t>
      </w:r>
      <w:r w:rsidR="00893E0E">
        <w:rPr>
          <w:rFonts w:ascii="Verdana" w:hAnsi="Verdana"/>
          <w:sz w:val="20"/>
        </w:rPr>
        <w:t xml:space="preserve"> functions as</w:t>
      </w:r>
      <w:r w:rsidR="001D38BF">
        <w:rPr>
          <w:rFonts w:ascii="Verdana" w:hAnsi="Verdana"/>
          <w:sz w:val="20"/>
        </w:rPr>
        <w:t>:</w:t>
      </w:r>
    </w:p>
    <w:p w14:paraId="125D1FE4" w14:textId="4BF36093" w:rsidR="001D38BF" w:rsidRDefault="00DA0A20" w:rsidP="00AA12BC">
      <w:pPr>
        <w:pStyle w:val="BodyText"/>
        <w:numPr>
          <w:ilvl w:val="0"/>
          <w:numId w:val="14"/>
        </w:numPr>
        <w:ind w:left="284" w:hanging="218"/>
        <w:rPr>
          <w:rFonts w:ascii="Verdana" w:hAnsi="Verdana"/>
          <w:sz w:val="20"/>
        </w:rPr>
      </w:pPr>
      <w:r>
        <w:rPr>
          <w:rFonts w:ascii="Verdana" w:hAnsi="Verdana"/>
          <w:sz w:val="20"/>
        </w:rPr>
        <w:t>a</w:t>
      </w:r>
      <w:r w:rsidR="001D38BF">
        <w:rPr>
          <w:rFonts w:ascii="Verdana" w:hAnsi="Verdana"/>
          <w:sz w:val="20"/>
        </w:rPr>
        <w:t xml:space="preserve"> secondary plasticizer</w:t>
      </w:r>
      <w:r w:rsidR="00363E16">
        <w:rPr>
          <w:rFonts w:ascii="Verdana" w:hAnsi="Verdana"/>
          <w:sz w:val="20"/>
        </w:rPr>
        <w:t xml:space="preserve"> in</w:t>
      </w:r>
      <w:r w:rsidR="001D38BF">
        <w:rPr>
          <w:rFonts w:ascii="Verdana" w:hAnsi="Verdana"/>
          <w:sz w:val="20"/>
        </w:rPr>
        <w:t xml:space="preserve"> PVC</w:t>
      </w:r>
      <w:r w:rsidR="00246BCC">
        <w:rPr>
          <w:rFonts w:ascii="Verdana" w:hAnsi="Verdana"/>
          <w:sz w:val="20"/>
        </w:rPr>
        <w:t>, adhesives, sealants, paints and coatings;</w:t>
      </w:r>
    </w:p>
    <w:p w14:paraId="3E32C691" w14:textId="07A68E6D" w:rsidR="001D38BF" w:rsidRDefault="00DA0A20" w:rsidP="00AA12BC">
      <w:pPr>
        <w:pStyle w:val="BodyText"/>
        <w:numPr>
          <w:ilvl w:val="0"/>
          <w:numId w:val="14"/>
        </w:numPr>
        <w:ind w:left="284" w:hanging="218"/>
        <w:rPr>
          <w:rFonts w:ascii="Verdana" w:hAnsi="Verdana"/>
          <w:sz w:val="20"/>
        </w:rPr>
      </w:pPr>
      <w:r>
        <w:rPr>
          <w:rFonts w:ascii="Verdana" w:hAnsi="Verdana"/>
          <w:sz w:val="20"/>
        </w:rPr>
        <w:t>a</w:t>
      </w:r>
      <w:r w:rsidR="001D38BF">
        <w:rPr>
          <w:rFonts w:ascii="Verdana" w:hAnsi="Verdana"/>
          <w:sz w:val="20"/>
        </w:rPr>
        <w:t xml:space="preserve"> flame retardant</w:t>
      </w:r>
      <w:r w:rsidR="00363E16">
        <w:rPr>
          <w:rFonts w:ascii="Verdana" w:hAnsi="Verdana"/>
          <w:sz w:val="20"/>
        </w:rPr>
        <w:t xml:space="preserve"> in</w:t>
      </w:r>
      <w:r w:rsidR="00246BCC">
        <w:rPr>
          <w:rFonts w:ascii="Verdana" w:hAnsi="Verdana"/>
          <w:sz w:val="20"/>
        </w:rPr>
        <w:t xml:space="preserve"> PVC and rubber compounds</w:t>
      </w:r>
      <w:r w:rsidR="00BF777D">
        <w:rPr>
          <w:rFonts w:ascii="Verdana" w:hAnsi="Verdana"/>
          <w:sz w:val="20"/>
        </w:rPr>
        <w:t>,</w:t>
      </w:r>
      <w:r w:rsidR="00246BCC" w:rsidRPr="00246BCC">
        <w:t xml:space="preserve"> </w:t>
      </w:r>
      <w:r w:rsidR="00246BCC" w:rsidRPr="00246BCC">
        <w:rPr>
          <w:rFonts w:ascii="Verdana" w:hAnsi="Verdana"/>
          <w:sz w:val="20"/>
        </w:rPr>
        <w:t>adhesives, sealants, paints and coatings</w:t>
      </w:r>
      <w:r w:rsidR="00246BCC">
        <w:rPr>
          <w:rFonts w:ascii="Verdana" w:hAnsi="Verdana"/>
          <w:sz w:val="20"/>
        </w:rPr>
        <w:t>, and textiles;</w:t>
      </w:r>
    </w:p>
    <w:p w14:paraId="1AE945AC" w14:textId="4A062EEF" w:rsidR="00246BCC" w:rsidRDefault="00DA0A20" w:rsidP="00AA12BC">
      <w:pPr>
        <w:pStyle w:val="BodyText"/>
        <w:numPr>
          <w:ilvl w:val="0"/>
          <w:numId w:val="14"/>
        </w:numPr>
        <w:ind w:left="284" w:hanging="218"/>
        <w:rPr>
          <w:rFonts w:ascii="Verdana" w:hAnsi="Verdana"/>
          <w:sz w:val="20"/>
        </w:rPr>
      </w:pPr>
      <w:r>
        <w:rPr>
          <w:rFonts w:ascii="Verdana" w:hAnsi="Verdana"/>
          <w:sz w:val="20"/>
        </w:rPr>
        <w:t>a</w:t>
      </w:r>
      <w:r w:rsidR="00246BCC">
        <w:rPr>
          <w:rFonts w:ascii="Verdana" w:hAnsi="Verdana"/>
          <w:sz w:val="20"/>
        </w:rPr>
        <w:t>n extreme pressure lubricant and anti-adhesive for metal working fluids;</w:t>
      </w:r>
    </w:p>
    <w:p w14:paraId="23BDBD26" w14:textId="344ADDAA" w:rsidR="00246BCC" w:rsidRDefault="00DA0A20" w:rsidP="00AA12BC">
      <w:pPr>
        <w:pStyle w:val="BodyText"/>
        <w:numPr>
          <w:ilvl w:val="0"/>
          <w:numId w:val="14"/>
        </w:numPr>
        <w:ind w:left="284" w:hanging="218"/>
        <w:rPr>
          <w:rFonts w:ascii="Verdana" w:hAnsi="Verdana"/>
          <w:sz w:val="20"/>
        </w:rPr>
      </w:pPr>
      <w:r>
        <w:rPr>
          <w:rFonts w:ascii="Verdana" w:hAnsi="Verdana"/>
          <w:sz w:val="20"/>
        </w:rPr>
        <w:t>a</w:t>
      </w:r>
      <w:r w:rsidR="00246BCC">
        <w:rPr>
          <w:rFonts w:ascii="Verdana" w:hAnsi="Verdana"/>
          <w:sz w:val="20"/>
        </w:rPr>
        <w:t xml:space="preserve"> waterproofing agent for paints, coatings and textiles;</w:t>
      </w:r>
    </w:p>
    <w:p w14:paraId="6B4DF028" w14:textId="6018C254" w:rsidR="00246BCC" w:rsidRDefault="00DA0A20" w:rsidP="00AA12BC">
      <w:pPr>
        <w:pStyle w:val="BodyText"/>
        <w:numPr>
          <w:ilvl w:val="0"/>
          <w:numId w:val="14"/>
        </w:numPr>
        <w:ind w:left="284" w:hanging="218"/>
        <w:rPr>
          <w:rFonts w:ascii="Verdana" w:hAnsi="Verdana"/>
          <w:sz w:val="20"/>
        </w:rPr>
      </w:pPr>
      <w:proofErr w:type="gramStart"/>
      <w:r>
        <w:rPr>
          <w:rFonts w:ascii="Verdana" w:hAnsi="Verdana"/>
          <w:sz w:val="20"/>
        </w:rPr>
        <w:t>a</w:t>
      </w:r>
      <w:proofErr w:type="gramEnd"/>
      <w:r w:rsidR="00246BCC">
        <w:rPr>
          <w:rFonts w:ascii="Verdana" w:hAnsi="Verdana"/>
          <w:sz w:val="20"/>
        </w:rPr>
        <w:t xml:space="preserve"> carrier solvent for colour formers in paper manufacture.</w:t>
      </w:r>
    </w:p>
    <w:p w14:paraId="62DF7AEC" w14:textId="77777777" w:rsidR="001D38BF" w:rsidRPr="001D38BF" w:rsidRDefault="001D38BF" w:rsidP="00D74ADF">
      <w:pPr>
        <w:pStyle w:val="BodyText"/>
        <w:rPr>
          <w:rFonts w:ascii="Verdana" w:hAnsi="Verdana"/>
          <w:sz w:val="20"/>
        </w:rPr>
      </w:pPr>
    </w:p>
    <w:p w14:paraId="39B96ACA" w14:textId="74BAB426" w:rsidR="00F22A10" w:rsidRDefault="00F07BA6" w:rsidP="00F07BA6">
      <w:pPr>
        <w:pStyle w:val="Caption"/>
        <w:rPr>
          <w:rFonts w:ascii="Verdana" w:hAnsi="Verdana"/>
          <w:b/>
          <w:sz w:val="20"/>
        </w:rPr>
      </w:pPr>
      <w:r w:rsidRPr="00F07BA6">
        <w:rPr>
          <w:rFonts w:ascii="Verdana" w:hAnsi="Verdana"/>
          <w:b/>
          <w:sz w:val="20"/>
        </w:rPr>
        <w:t xml:space="preserve">Table </w:t>
      </w:r>
      <w:r w:rsidRPr="00F07BA6">
        <w:rPr>
          <w:rFonts w:ascii="Verdana" w:hAnsi="Verdana"/>
          <w:b/>
          <w:sz w:val="20"/>
        </w:rPr>
        <w:fldChar w:fldCharType="begin"/>
      </w:r>
      <w:r w:rsidRPr="00F07BA6">
        <w:rPr>
          <w:rFonts w:ascii="Verdana" w:hAnsi="Verdana"/>
          <w:b/>
          <w:sz w:val="20"/>
        </w:rPr>
        <w:instrText xml:space="preserve"> SEQ Table \* ARABIC </w:instrText>
      </w:r>
      <w:r w:rsidRPr="00F07BA6">
        <w:rPr>
          <w:rFonts w:ascii="Verdana" w:hAnsi="Verdana"/>
          <w:b/>
          <w:sz w:val="20"/>
        </w:rPr>
        <w:fldChar w:fldCharType="separate"/>
      </w:r>
      <w:r w:rsidR="005C355A">
        <w:rPr>
          <w:rFonts w:ascii="Verdana" w:hAnsi="Verdana"/>
          <w:b/>
          <w:noProof/>
          <w:sz w:val="20"/>
        </w:rPr>
        <w:t>7</w:t>
      </w:r>
      <w:r w:rsidRPr="00F07BA6">
        <w:rPr>
          <w:rFonts w:ascii="Verdana" w:hAnsi="Verdana"/>
          <w:b/>
          <w:sz w:val="20"/>
        </w:rPr>
        <w:fldChar w:fldCharType="end"/>
      </w:r>
      <w:r w:rsidR="00F22A10" w:rsidRPr="00893E0E">
        <w:rPr>
          <w:rFonts w:ascii="Verdana" w:hAnsi="Verdana"/>
          <w:b/>
          <w:sz w:val="20"/>
        </w:rPr>
        <w:t>:</w:t>
      </w:r>
      <w:r w:rsidR="00F22A10" w:rsidRPr="00B10B51">
        <w:rPr>
          <w:rFonts w:ascii="Verdana" w:hAnsi="Verdana"/>
          <w:b/>
          <w:sz w:val="20"/>
        </w:rPr>
        <w:t xml:space="preserve"> </w:t>
      </w:r>
      <w:r w:rsidR="000578F2">
        <w:rPr>
          <w:rFonts w:ascii="Verdana" w:hAnsi="Verdana"/>
          <w:b/>
          <w:sz w:val="20"/>
        </w:rPr>
        <w:t>MCCPs</w:t>
      </w:r>
      <w:r w:rsidR="00607BBD">
        <w:rPr>
          <w:rFonts w:ascii="Verdana" w:hAnsi="Verdana"/>
          <w:b/>
          <w:sz w:val="20"/>
        </w:rPr>
        <w:t xml:space="preserve"> </w:t>
      </w:r>
      <w:r w:rsidR="00246BCC">
        <w:rPr>
          <w:rFonts w:ascii="Verdana" w:hAnsi="Verdana"/>
          <w:b/>
          <w:sz w:val="20"/>
        </w:rPr>
        <w:t>u</w:t>
      </w:r>
      <w:r w:rsidR="00F22A10" w:rsidRPr="00B10B51">
        <w:rPr>
          <w:rFonts w:ascii="Verdana" w:hAnsi="Verdana"/>
          <w:b/>
          <w:sz w:val="20"/>
        </w:rPr>
        <w:t>ses</w:t>
      </w:r>
      <w:r w:rsidR="00246BCC">
        <w:rPr>
          <w:rFonts w:ascii="Verdana" w:hAnsi="Verdana"/>
          <w:b/>
          <w:sz w:val="20"/>
        </w:rPr>
        <w:t xml:space="preserve"> identified on ECHA’s dissemination site</w:t>
      </w:r>
    </w:p>
    <w:p w14:paraId="39B96ACB" w14:textId="77777777" w:rsidR="00AC0E4E" w:rsidRDefault="00AC0E4E" w:rsidP="00F22A10">
      <w:pPr>
        <w:pStyle w:val="Default"/>
        <w:jc w:val="both"/>
        <w:rPr>
          <w:rFonts w:ascii="Verdana" w:hAnsi="Verdana"/>
          <w:sz w:val="20"/>
          <w:szCs w:val="20"/>
        </w:rPr>
      </w:pPr>
    </w:p>
    <w:tbl>
      <w:tblPr>
        <w:tblStyle w:val="TableGrid"/>
        <w:tblW w:w="8506" w:type="dxa"/>
        <w:tblInd w:w="-176" w:type="dxa"/>
        <w:tblLook w:val="04A0" w:firstRow="1" w:lastRow="0" w:firstColumn="1" w:lastColumn="0" w:noHBand="0" w:noVBand="1"/>
      </w:tblPr>
      <w:tblGrid>
        <w:gridCol w:w="1702"/>
        <w:gridCol w:w="6804"/>
      </w:tblGrid>
      <w:tr w:rsidR="00BD45E8" w:rsidRPr="00035135" w14:paraId="39B96ACE" w14:textId="77777777" w:rsidTr="000E324D">
        <w:tc>
          <w:tcPr>
            <w:tcW w:w="1702" w:type="dxa"/>
            <w:tcBorders>
              <w:top w:val="nil"/>
              <w:left w:val="nil"/>
            </w:tcBorders>
            <w:vAlign w:val="center"/>
          </w:tcPr>
          <w:p w14:paraId="39B96ACC" w14:textId="77777777" w:rsidR="00BD45E8" w:rsidRPr="00035135" w:rsidRDefault="00BD45E8" w:rsidP="000E324D">
            <w:pPr>
              <w:pStyle w:val="BodyText"/>
              <w:rPr>
                <w:rFonts w:ascii="Verdana" w:hAnsi="Verdana"/>
                <w:sz w:val="20"/>
              </w:rPr>
            </w:pPr>
          </w:p>
        </w:tc>
        <w:tc>
          <w:tcPr>
            <w:tcW w:w="6804" w:type="dxa"/>
          </w:tcPr>
          <w:p w14:paraId="39B96ACD" w14:textId="77777777" w:rsidR="00BD45E8" w:rsidRPr="00B10B51" w:rsidRDefault="00BD45E8" w:rsidP="000E324D">
            <w:pPr>
              <w:pStyle w:val="Caption"/>
              <w:jc w:val="center"/>
              <w:rPr>
                <w:rFonts w:ascii="Verdana" w:hAnsi="Verdana"/>
                <w:b/>
                <w:sz w:val="20"/>
                <w:lang w:val="en-IE"/>
              </w:rPr>
            </w:pPr>
            <w:r>
              <w:rPr>
                <w:rFonts w:ascii="Verdana" w:hAnsi="Verdana"/>
                <w:b/>
                <w:sz w:val="20"/>
                <w:lang w:val="en-IE"/>
              </w:rPr>
              <w:t>Use(s)</w:t>
            </w:r>
          </w:p>
        </w:tc>
      </w:tr>
      <w:tr w:rsidR="00BD45E8" w:rsidRPr="00035135" w14:paraId="39B96AD4" w14:textId="77777777" w:rsidTr="00BD45E8">
        <w:tc>
          <w:tcPr>
            <w:tcW w:w="1702" w:type="dxa"/>
            <w:vAlign w:val="center"/>
          </w:tcPr>
          <w:p w14:paraId="39B96AD2" w14:textId="77777777" w:rsidR="00BD45E8" w:rsidRPr="00437844" w:rsidRDefault="00BD45E8" w:rsidP="000E324D">
            <w:pPr>
              <w:pStyle w:val="BodyText"/>
              <w:jc w:val="left"/>
              <w:rPr>
                <w:rFonts w:ascii="Verdana" w:hAnsi="Verdana"/>
                <w:b/>
                <w:sz w:val="20"/>
              </w:rPr>
            </w:pPr>
            <w:r w:rsidRPr="00437844">
              <w:rPr>
                <w:rFonts w:ascii="Verdana" w:hAnsi="Verdana"/>
                <w:b/>
                <w:sz w:val="20"/>
              </w:rPr>
              <w:t>Formulation</w:t>
            </w:r>
          </w:p>
        </w:tc>
        <w:tc>
          <w:tcPr>
            <w:tcW w:w="6804" w:type="dxa"/>
          </w:tcPr>
          <w:p w14:paraId="535E48E8" w14:textId="77777777" w:rsidR="00BF777D" w:rsidRPr="00BF777D" w:rsidRDefault="00BF777D" w:rsidP="00BF777D">
            <w:pPr>
              <w:pStyle w:val="BodyText"/>
              <w:spacing w:after="100" w:afterAutospacing="1"/>
              <w:rPr>
                <w:rFonts w:ascii="Verdana" w:hAnsi="Verdana"/>
                <w:sz w:val="20"/>
              </w:rPr>
            </w:pPr>
            <w:r w:rsidRPr="00BF777D">
              <w:rPr>
                <w:rFonts w:ascii="Verdana" w:hAnsi="Verdana"/>
                <w:sz w:val="20"/>
              </w:rPr>
              <w:t>This substance is used in the following products: polymers, coating products, fillers, putties, plasters, modelling clay, adhesives and sealants and lubricants and greases.</w:t>
            </w:r>
          </w:p>
          <w:p w14:paraId="631FE0CB" w14:textId="73CDC514" w:rsidR="00BF777D" w:rsidRDefault="00BF777D" w:rsidP="00BF777D">
            <w:pPr>
              <w:pStyle w:val="BodyText"/>
              <w:spacing w:after="100" w:afterAutospacing="1"/>
              <w:rPr>
                <w:rFonts w:ascii="Verdana" w:hAnsi="Verdana"/>
                <w:sz w:val="20"/>
              </w:rPr>
            </w:pPr>
            <w:r w:rsidRPr="00BF777D">
              <w:rPr>
                <w:rFonts w:ascii="Verdana" w:hAnsi="Verdana"/>
                <w:sz w:val="20"/>
              </w:rPr>
              <w:t xml:space="preserve">This substance is used in the following activities or processes </w:t>
            </w:r>
            <w:r w:rsidR="00B23AD0">
              <w:rPr>
                <w:rFonts w:ascii="Verdana" w:hAnsi="Verdana"/>
                <w:sz w:val="20"/>
              </w:rPr>
              <w:t>at the workp</w:t>
            </w:r>
            <w:r w:rsidRPr="00BF777D">
              <w:rPr>
                <w:rFonts w:ascii="Verdana" w:hAnsi="Verdana"/>
                <w:sz w:val="20"/>
              </w:rPr>
              <w:t xml:space="preserve">lace: transfer of chemicals, mixing in open batch processes, transfer of substance into small containers, closed batch processing in synthesis or formulation, </w:t>
            </w:r>
            <w:proofErr w:type="spellStart"/>
            <w:r w:rsidRPr="00BF777D">
              <w:rPr>
                <w:rFonts w:ascii="Verdana" w:hAnsi="Verdana"/>
                <w:sz w:val="20"/>
              </w:rPr>
              <w:t>calendering</w:t>
            </w:r>
            <w:proofErr w:type="spellEnd"/>
            <w:r w:rsidRPr="00BF777D">
              <w:rPr>
                <w:rFonts w:ascii="Verdana" w:hAnsi="Verdana"/>
                <w:sz w:val="20"/>
              </w:rPr>
              <w:t xml:space="preserve"> operations and roller or brushing applications.</w:t>
            </w:r>
          </w:p>
          <w:p w14:paraId="316A7420" w14:textId="27AAF8DB" w:rsidR="00B76BBB" w:rsidRDefault="00B76BBB" w:rsidP="00BF777D">
            <w:pPr>
              <w:pStyle w:val="BodyText"/>
              <w:spacing w:after="100" w:afterAutospacing="1"/>
              <w:rPr>
                <w:rFonts w:ascii="Verdana" w:hAnsi="Verdana"/>
                <w:sz w:val="20"/>
              </w:rPr>
            </w:pPr>
            <w:r w:rsidRPr="00B76BBB">
              <w:rPr>
                <w:rFonts w:ascii="Verdana" w:hAnsi="Verdana"/>
                <w:sz w:val="20"/>
              </w:rPr>
              <w:t>Release to the environment of this substance can occur from industrial use: formulation of mixtures, formulation in materials, in the production of articles and for thermoplastic manufacture.</w:t>
            </w:r>
          </w:p>
          <w:p w14:paraId="6400A415" w14:textId="3EDAF258" w:rsidR="00002C83" w:rsidRPr="00BF777D" w:rsidRDefault="00002C83" w:rsidP="00BF777D">
            <w:pPr>
              <w:pStyle w:val="BodyText"/>
              <w:spacing w:after="100" w:afterAutospacing="1"/>
              <w:rPr>
                <w:rFonts w:ascii="Verdana" w:hAnsi="Verdana"/>
                <w:sz w:val="20"/>
              </w:rPr>
            </w:pPr>
            <w:r>
              <w:rPr>
                <w:rFonts w:ascii="Verdana" w:hAnsi="Verdana"/>
                <w:sz w:val="20"/>
              </w:rPr>
              <w:t>The lead applicant’s CSR identifies formulation of the following products:</w:t>
            </w:r>
          </w:p>
          <w:p w14:paraId="5750590B" w14:textId="77777777" w:rsidR="00863F7C" w:rsidRPr="00863F7C" w:rsidRDefault="00863F7C" w:rsidP="00002C83">
            <w:pPr>
              <w:pStyle w:val="BodyText"/>
              <w:spacing w:after="0"/>
              <w:jc w:val="left"/>
              <w:rPr>
                <w:rFonts w:ascii="Verdana" w:hAnsi="Verdana"/>
                <w:sz w:val="20"/>
              </w:rPr>
            </w:pPr>
            <w:r w:rsidRPr="00863F7C">
              <w:rPr>
                <w:rFonts w:ascii="Verdana" w:hAnsi="Verdana"/>
                <w:sz w:val="20"/>
              </w:rPr>
              <w:t>PVC and rubber</w:t>
            </w:r>
          </w:p>
          <w:p w14:paraId="6F5F71A0" w14:textId="77777777" w:rsidR="00863F7C" w:rsidRPr="00863F7C" w:rsidRDefault="00863F7C" w:rsidP="00002C83">
            <w:pPr>
              <w:pStyle w:val="BodyText"/>
              <w:spacing w:after="0"/>
              <w:jc w:val="left"/>
              <w:rPr>
                <w:rFonts w:ascii="Verdana" w:hAnsi="Verdana"/>
                <w:sz w:val="20"/>
              </w:rPr>
            </w:pPr>
            <w:r w:rsidRPr="00863F7C">
              <w:rPr>
                <w:rFonts w:ascii="Verdana" w:hAnsi="Verdana"/>
                <w:sz w:val="20"/>
              </w:rPr>
              <w:t>Metalworking fluids and lubricants</w:t>
            </w:r>
          </w:p>
          <w:p w14:paraId="7488AA84" w14:textId="77777777" w:rsidR="00BD45E8" w:rsidRPr="00863F7C" w:rsidRDefault="00863F7C" w:rsidP="00002C83">
            <w:pPr>
              <w:pStyle w:val="BodyText"/>
              <w:spacing w:after="0"/>
              <w:jc w:val="left"/>
              <w:rPr>
                <w:rFonts w:ascii="Verdana" w:hAnsi="Verdana"/>
                <w:sz w:val="20"/>
              </w:rPr>
            </w:pPr>
            <w:r w:rsidRPr="00863F7C">
              <w:rPr>
                <w:rFonts w:ascii="Verdana" w:hAnsi="Verdana"/>
                <w:sz w:val="20"/>
              </w:rPr>
              <w:t>Adhesives and sealants</w:t>
            </w:r>
          </w:p>
          <w:p w14:paraId="067F19A4" w14:textId="77777777" w:rsidR="00863F7C" w:rsidRDefault="00863F7C" w:rsidP="00002C83">
            <w:pPr>
              <w:pStyle w:val="BodyText"/>
              <w:spacing w:after="0"/>
              <w:jc w:val="left"/>
              <w:rPr>
                <w:rFonts w:ascii="Verdana" w:hAnsi="Verdana"/>
                <w:sz w:val="20"/>
              </w:rPr>
            </w:pPr>
            <w:r w:rsidRPr="00863F7C">
              <w:rPr>
                <w:rFonts w:ascii="Verdana" w:hAnsi="Verdana"/>
                <w:sz w:val="20"/>
              </w:rPr>
              <w:t>Paints and coatings</w:t>
            </w:r>
          </w:p>
          <w:p w14:paraId="39B96AD3" w14:textId="3A028CDB" w:rsidR="00002C83" w:rsidRPr="00863F7C" w:rsidRDefault="00002C83" w:rsidP="00002C83">
            <w:pPr>
              <w:pStyle w:val="BodyText"/>
              <w:spacing w:after="0"/>
              <w:jc w:val="left"/>
              <w:rPr>
                <w:rFonts w:ascii="Verdana" w:hAnsi="Verdana"/>
                <w:sz w:val="20"/>
              </w:rPr>
            </w:pPr>
          </w:p>
        </w:tc>
      </w:tr>
      <w:tr w:rsidR="00BD45E8" w:rsidRPr="00035135" w14:paraId="39B96AD7" w14:textId="77777777" w:rsidTr="00BD45E8">
        <w:tc>
          <w:tcPr>
            <w:tcW w:w="1702" w:type="dxa"/>
            <w:vAlign w:val="center"/>
          </w:tcPr>
          <w:p w14:paraId="39B96AD5" w14:textId="77777777" w:rsidR="00BD45E8" w:rsidRPr="00437844" w:rsidRDefault="00BD45E8" w:rsidP="000E324D">
            <w:pPr>
              <w:pStyle w:val="BodyText"/>
              <w:jc w:val="left"/>
              <w:rPr>
                <w:rFonts w:ascii="Verdana" w:hAnsi="Verdana"/>
                <w:b/>
                <w:sz w:val="20"/>
              </w:rPr>
            </w:pPr>
            <w:r w:rsidRPr="00437844">
              <w:rPr>
                <w:rFonts w:ascii="Verdana" w:hAnsi="Verdana"/>
                <w:b/>
                <w:sz w:val="20"/>
              </w:rPr>
              <w:t>Uses at industrial sites</w:t>
            </w:r>
          </w:p>
        </w:tc>
        <w:tc>
          <w:tcPr>
            <w:tcW w:w="6804" w:type="dxa"/>
          </w:tcPr>
          <w:p w14:paraId="3CB37EBE" w14:textId="77777777" w:rsidR="00002C83" w:rsidRDefault="00002C83" w:rsidP="00002C83">
            <w:pPr>
              <w:pStyle w:val="BodyText"/>
              <w:spacing w:after="0"/>
              <w:jc w:val="left"/>
              <w:rPr>
                <w:rFonts w:ascii="Verdana" w:hAnsi="Verdana"/>
                <w:sz w:val="20"/>
              </w:rPr>
            </w:pPr>
          </w:p>
          <w:p w14:paraId="6A087430" w14:textId="77777777" w:rsidR="009714DA" w:rsidRDefault="009714DA" w:rsidP="009714DA">
            <w:pPr>
              <w:pStyle w:val="BodyText"/>
              <w:spacing w:after="0"/>
              <w:rPr>
                <w:rFonts w:ascii="Verdana" w:hAnsi="Verdana"/>
                <w:sz w:val="20"/>
              </w:rPr>
            </w:pPr>
            <w:r w:rsidRPr="009714DA">
              <w:rPr>
                <w:rFonts w:ascii="Verdana" w:hAnsi="Verdana"/>
                <w:sz w:val="20"/>
              </w:rPr>
              <w:t>This substance is used in the following products: polymers, adhesives and sealants, coating products, fillers, putties, plasters, modelling clay, metal working fluids and textile treatment products and dyes.</w:t>
            </w:r>
          </w:p>
          <w:p w14:paraId="218BB3A6" w14:textId="77777777" w:rsidR="009714DA" w:rsidRPr="009714DA" w:rsidRDefault="009714DA" w:rsidP="009714DA">
            <w:pPr>
              <w:pStyle w:val="BodyText"/>
              <w:spacing w:after="0"/>
              <w:rPr>
                <w:rFonts w:ascii="Verdana" w:hAnsi="Verdana"/>
                <w:sz w:val="20"/>
              </w:rPr>
            </w:pPr>
          </w:p>
          <w:p w14:paraId="615E4321" w14:textId="77777777" w:rsidR="009714DA" w:rsidRDefault="009714DA" w:rsidP="009714DA">
            <w:pPr>
              <w:pStyle w:val="BodyText"/>
              <w:spacing w:after="0"/>
              <w:rPr>
                <w:rFonts w:ascii="Verdana" w:hAnsi="Verdana"/>
                <w:sz w:val="20"/>
              </w:rPr>
            </w:pPr>
            <w:r w:rsidRPr="009714DA">
              <w:rPr>
                <w:rFonts w:ascii="Verdana" w:hAnsi="Verdana"/>
                <w:sz w:val="20"/>
              </w:rPr>
              <w:t>This substance is used in the following areas: formulation of mixtures and/or re-packaging and mining. This substance is used for the manufacture of: plastic products, rubber products, textile, leather or fur, fabricated metal products, pulp, paper and paper products and furniture.</w:t>
            </w:r>
          </w:p>
          <w:p w14:paraId="0777A5E0" w14:textId="77777777" w:rsidR="009714DA" w:rsidRPr="009714DA" w:rsidRDefault="009714DA" w:rsidP="009714DA">
            <w:pPr>
              <w:pStyle w:val="BodyText"/>
              <w:spacing w:after="0"/>
              <w:rPr>
                <w:rFonts w:ascii="Verdana" w:hAnsi="Verdana"/>
                <w:sz w:val="20"/>
              </w:rPr>
            </w:pPr>
          </w:p>
          <w:p w14:paraId="4D1222AD" w14:textId="1EAA014C" w:rsidR="00002C83" w:rsidRDefault="009714DA" w:rsidP="009714DA">
            <w:pPr>
              <w:pStyle w:val="BodyText"/>
              <w:spacing w:after="0"/>
              <w:jc w:val="left"/>
              <w:rPr>
                <w:rFonts w:ascii="Verdana" w:hAnsi="Verdana"/>
                <w:sz w:val="20"/>
              </w:rPr>
            </w:pPr>
            <w:r w:rsidRPr="009714DA">
              <w:rPr>
                <w:rFonts w:ascii="Verdana" w:hAnsi="Verdana"/>
                <w:sz w:val="20"/>
              </w:rPr>
              <w:t xml:space="preserve">This substance is used in the following activities or processes </w:t>
            </w:r>
            <w:r w:rsidR="00B23AD0">
              <w:rPr>
                <w:rFonts w:ascii="Verdana" w:hAnsi="Verdana"/>
                <w:sz w:val="20"/>
              </w:rPr>
              <w:t>at the workp</w:t>
            </w:r>
            <w:r w:rsidRPr="009714DA">
              <w:rPr>
                <w:rFonts w:ascii="Verdana" w:hAnsi="Verdana"/>
                <w:sz w:val="20"/>
              </w:rPr>
              <w:t xml:space="preserve">lace: transfer of chemicals, mixing in open batch processes, transfer of substance into small containers, roller or </w:t>
            </w:r>
            <w:r w:rsidRPr="009714DA">
              <w:rPr>
                <w:rFonts w:ascii="Verdana" w:hAnsi="Verdana"/>
                <w:sz w:val="20"/>
              </w:rPr>
              <w:lastRenderedPageBreak/>
              <w:t xml:space="preserve">brushing applications, </w:t>
            </w:r>
            <w:proofErr w:type="spellStart"/>
            <w:r w:rsidRPr="009714DA">
              <w:rPr>
                <w:rFonts w:ascii="Verdana" w:hAnsi="Verdana"/>
                <w:sz w:val="20"/>
              </w:rPr>
              <w:t>calendering</w:t>
            </w:r>
            <w:proofErr w:type="spellEnd"/>
            <w:r w:rsidRPr="009714DA">
              <w:rPr>
                <w:rFonts w:ascii="Verdana" w:hAnsi="Verdana"/>
                <w:sz w:val="20"/>
              </w:rPr>
              <w:t xml:space="preserve"> operations, hand mixing with intimate contact only with personal protective equipment available, industrial spraying and treatment of articles by dipping and pouring.</w:t>
            </w:r>
          </w:p>
          <w:p w14:paraId="284027DA" w14:textId="77777777" w:rsidR="00B76BBB" w:rsidRDefault="00B76BBB" w:rsidP="009714DA">
            <w:pPr>
              <w:pStyle w:val="BodyText"/>
              <w:spacing w:after="0"/>
              <w:jc w:val="left"/>
              <w:rPr>
                <w:rFonts w:ascii="Verdana" w:hAnsi="Verdana"/>
                <w:sz w:val="20"/>
              </w:rPr>
            </w:pPr>
          </w:p>
          <w:p w14:paraId="4E3E83A2" w14:textId="04756F6C" w:rsidR="00B76BBB" w:rsidRDefault="00B76BBB" w:rsidP="009714DA">
            <w:pPr>
              <w:pStyle w:val="BodyText"/>
              <w:spacing w:after="0"/>
              <w:jc w:val="left"/>
              <w:rPr>
                <w:rFonts w:ascii="Verdana" w:hAnsi="Verdana"/>
                <w:sz w:val="20"/>
              </w:rPr>
            </w:pPr>
            <w:r w:rsidRPr="00B76BBB">
              <w:rPr>
                <w:rFonts w:ascii="Verdana" w:hAnsi="Verdana"/>
                <w:sz w:val="20"/>
              </w:rPr>
              <w:t>Release to the environment of this substance can occur from industrial use: in the production of articles, in processing aids at industrial sites, for thermoplastic manufacture, of substances in closed systems with minimal release, as processing aid, as an intermediate step in further manufacturing of another substance (use of intermediates) and formulation of mixtures.</w:t>
            </w:r>
          </w:p>
          <w:p w14:paraId="14232931" w14:textId="77777777" w:rsidR="009714DA" w:rsidRDefault="009714DA" w:rsidP="009714DA">
            <w:pPr>
              <w:pStyle w:val="BodyText"/>
              <w:spacing w:after="0"/>
              <w:jc w:val="left"/>
              <w:rPr>
                <w:rFonts w:ascii="Verdana" w:hAnsi="Verdana"/>
                <w:sz w:val="20"/>
              </w:rPr>
            </w:pPr>
          </w:p>
          <w:p w14:paraId="4BC93704" w14:textId="2F7F069C" w:rsidR="00002C83" w:rsidRDefault="00002C83" w:rsidP="00002C83">
            <w:pPr>
              <w:pStyle w:val="BodyText"/>
              <w:spacing w:after="0"/>
              <w:jc w:val="left"/>
              <w:rPr>
                <w:rFonts w:ascii="Verdana" w:hAnsi="Verdana"/>
                <w:sz w:val="20"/>
              </w:rPr>
            </w:pPr>
            <w:r w:rsidRPr="00002C83">
              <w:rPr>
                <w:rFonts w:ascii="Verdana" w:hAnsi="Verdana"/>
                <w:sz w:val="20"/>
              </w:rPr>
              <w:t xml:space="preserve">The lead applicant’s CSR identifies the following </w:t>
            </w:r>
            <w:r>
              <w:rPr>
                <w:rFonts w:ascii="Verdana" w:hAnsi="Verdana"/>
                <w:sz w:val="20"/>
              </w:rPr>
              <w:t>industrial uses</w:t>
            </w:r>
            <w:r w:rsidRPr="00002C83">
              <w:rPr>
                <w:rFonts w:ascii="Verdana" w:hAnsi="Verdana"/>
                <w:sz w:val="20"/>
              </w:rPr>
              <w:t>:</w:t>
            </w:r>
          </w:p>
          <w:p w14:paraId="01506B13" w14:textId="77777777" w:rsidR="00002C83" w:rsidRDefault="00002C83" w:rsidP="00002C83">
            <w:pPr>
              <w:pStyle w:val="BodyText"/>
              <w:spacing w:after="0"/>
              <w:jc w:val="left"/>
              <w:rPr>
                <w:rFonts w:ascii="Verdana" w:hAnsi="Verdana"/>
                <w:sz w:val="20"/>
              </w:rPr>
            </w:pPr>
          </w:p>
          <w:p w14:paraId="445463E2" w14:textId="77777777" w:rsidR="00BD45E8" w:rsidRPr="00863F7C" w:rsidRDefault="00863F7C" w:rsidP="00002C83">
            <w:pPr>
              <w:pStyle w:val="BodyText"/>
              <w:spacing w:after="0"/>
              <w:jc w:val="left"/>
              <w:rPr>
                <w:rFonts w:ascii="Verdana" w:hAnsi="Verdana"/>
                <w:sz w:val="20"/>
              </w:rPr>
            </w:pPr>
            <w:r w:rsidRPr="00863F7C">
              <w:rPr>
                <w:rFonts w:ascii="Verdana" w:hAnsi="Verdana"/>
                <w:sz w:val="20"/>
              </w:rPr>
              <w:t>PVC and rubber processing</w:t>
            </w:r>
          </w:p>
          <w:p w14:paraId="0EE26DA0" w14:textId="1F945238" w:rsidR="00863F7C" w:rsidRPr="00863F7C" w:rsidRDefault="00863F7C" w:rsidP="00002C83">
            <w:pPr>
              <w:pStyle w:val="BodyText"/>
              <w:spacing w:after="0"/>
              <w:jc w:val="left"/>
              <w:rPr>
                <w:rFonts w:ascii="Verdana" w:hAnsi="Verdana"/>
                <w:sz w:val="20"/>
              </w:rPr>
            </w:pPr>
            <w:r w:rsidRPr="00863F7C">
              <w:rPr>
                <w:rFonts w:ascii="Verdana" w:hAnsi="Verdana"/>
                <w:sz w:val="20"/>
              </w:rPr>
              <w:t>Treatment of textiles</w:t>
            </w:r>
          </w:p>
          <w:p w14:paraId="1822DF93" w14:textId="329AA495" w:rsidR="00863F7C" w:rsidRDefault="00863F7C" w:rsidP="00002C83">
            <w:pPr>
              <w:pStyle w:val="BodyText"/>
              <w:spacing w:after="0"/>
              <w:jc w:val="left"/>
              <w:rPr>
                <w:rFonts w:ascii="Verdana" w:hAnsi="Verdana"/>
                <w:sz w:val="20"/>
              </w:rPr>
            </w:pPr>
            <w:r w:rsidRPr="00863F7C">
              <w:rPr>
                <w:rFonts w:ascii="Verdana" w:hAnsi="Verdana"/>
                <w:sz w:val="20"/>
              </w:rPr>
              <w:t xml:space="preserve">Paper manufacturing and </w:t>
            </w:r>
            <w:r w:rsidR="00F96065">
              <w:rPr>
                <w:rFonts w:ascii="Verdana" w:hAnsi="Verdana"/>
                <w:sz w:val="20"/>
              </w:rPr>
              <w:t>recycling</w:t>
            </w:r>
          </w:p>
          <w:p w14:paraId="49812E76" w14:textId="3753C483" w:rsidR="00F96065" w:rsidRDefault="00002C83" w:rsidP="00002C83">
            <w:pPr>
              <w:pStyle w:val="BodyText"/>
              <w:spacing w:after="0"/>
              <w:jc w:val="left"/>
              <w:rPr>
                <w:rFonts w:ascii="Verdana" w:hAnsi="Verdana"/>
                <w:sz w:val="20"/>
              </w:rPr>
            </w:pPr>
            <w:r>
              <w:rPr>
                <w:rFonts w:ascii="Verdana" w:hAnsi="Verdana"/>
                <w:sz w:val="20"/>
              </w:rPr>
              <w:t>Use of m</w:t>
            </w:r>
            <w:r w:rsidR="00F96065">
              <w:rPr>
                <w:rFonts w:ascii="Verdana" w:hAnsi="Verdana"/>
                <w:sz w:val="20"/>
              </w:rPr>
              <w:t>etalworking fluids and lubricants – neat oils</w:t>
            </w:r>
          </w:p>
          <w:p w14:paraId="63C8E1F6" w14:textId="4E232F6F" w:rsidR="00F96065" w:rsidRDefault="00002C83" w:rsidP="00002C83">
            <w:pPr>
              <w:pStyle w:val="BodyText"/>
              <w:spacing w:after="0"/>
              <w:jc w:val="left"/>
              <w:rPr>
                <w:rFonts w:ascii="Verdana" w:hAnsi="Verdana"/>
                <w:sz w:val="20"/>
              </w:rPr>
            </w:pPr>
            <w:r>
              <w:rPr>
                <w:rFonts w:ascii="Verdana" w:hAnsi="Verdana"/>
                <w:sz w:val="20"/>
              </w:rPr>
              <w:t>Use of m</w:t>
            </w:r>
            <w:r w:rsidR="00F96065">
              <w:rPr>
                <w:rFonts w:ascii="Verdana" w:hAnsi="Verdana"/>
                <w:sz w:val="20"/>
              </w:rPr>
              <w:t>etalworking fluids and lubricants - emulsions</w:t>
            </w:r>
          </w:p>
          <w:p w14:paraId="39B96AD6" w14:textId="067EAA35" w:rsidR="00863F7C" w:rsidRPr="00863F7C" w:rsidRDefault="00863F7C" w:rsidP="00F96065">
            <w:pPr>
              <w:pStyle w:val="BodyText"/>
              <w:spacing w:after="100" w:afterAutospacing="1"/>
              <w:jc w:val="left"/>
              <w:rPr>
                <w:rFonts w:ascii="Verdana" w:hAnsi="Verdana"/>
                <w:sz w:val="20"/>
              </w:rPr>
            </w:pPr>
          </w:p>
        </w:tc>
      </w:tr>
      <w:tr w:rsidR="00BD45E8" w:rsidRPr="00035135" w14:paraId="39B96ADA" w14:textId="77777777" w:rsidTr="00BD45E8">
        <w:tc>
          <w:tcPr>
            <w:tcW w:w="1702" w:type="dxa"/>
            <w:vAlign w:val="center"/>
          </w:tcPr>
          <w:p w14:paraId="39B96AD8" w14:textId="2C919806" w:rsidR="00BD45E8" w:rsidRPr="00437844" w:rsidRDefault="00BD45E8" w:rsidP="000E324D">
            <w:pPr>
              <w:pStyle w:val="BodyText"/>
              <w:jc w:val="left"/>
              <w:rPr>
                <w:rFonts w:ascii="Verdana" w:hAnsi="Verdana"/>
                <w:b/>
                <w:sz w:val="20"/>
              </w:rPr>
            </w:pPr>
            <w:r w:rsidRPr="00437844">
              <w:rPr>
                <w:rFonts w:ascii="Verdana" w:hAnsi="Verdana"/>
                <w:b/>
                <w:sz w:val="20"/>
                <w:lang w:val="en-IE"/>
              </w:rPr>
              <w:lastRenderedPageBreak/>
              <w:t>Uses by professional workers</w:t>
            </w:r>
          </w:p>
        </w:tc>
        <w:tc>
          <w:tcPr>
            <w:tcW w:w="6804" w:type="dxa"/>
          </w:tcPr>
          <w:p w14:paraId="78270FA3" w14:textId="77777777" w:rsidR="009714DA" w:rsidRPr="009714DA" w:rsidRDefault="009714DA" w:rsidP="009714DA">
            <w:pPr>
              <w:pStyle w:val="BodyText"/>
              <w:spacing w:after="100" w:afterAutospacing="1"/>
              <w:rPr>
                <w:rFonts w:ascii="Verdana" w:hAnsi="Verdana"/>
                <w:sz w:val="20"/>
              </w:rPr>
            </w:pPr>
            <w:r w:rsidRPr="009714DA">
              <w:rPr>
                <w:rFonts w:ascii="Verdana" w:hAnsi="Verdana"/>
                <w:sz w:val="20"/>
              </w:rPr>
              <w:t>This substance is used in the following products: coating products, adhesives and sealants and fillers, putties, plasters, modelling clay.</w:t>
            </w:r>
          </w:p>
          <w:p w14:paraId="631D0091" w14:textId="611256FB" w:rsidR="009714DA" w:rsidRPr="009714DA" w:rsidRDefault="009714DA" w:rsidP="009714DA">
            <w:pPr>
              <w:pStyle w:val="BodyText"/>
              <w:spacing w:after="100" w:afterAutospacing="1"/>
              <w:rPr>
                <w:rFonts w:ascii="Verdana" w:hAnsi="Verdana"/>
                <w:sz w:val="20"/>
              </w:rPr>
            </w:pPr>
            <w:r w:rsidRPr="009714DA">
              <w:rPr>
                <w:rFonts w:ascii="Verdana" w:hAnsi="Verdana"/>
                <w:sz w:val="20"/>
              </w:rPr>
              <w:t xml:space="preserve">This substance is used in the following areas: building </w:t>
            </w:r>
            <w:r w:rsidR="00B23AD0">
              <w:rPr>
                <w:rFonts w:ascii="Verdana" w:hAnsi="Verdana"/>
                <w:sz w:val="20"/>
              </w:rPr>
              <w:t>and</w:t>
            </w:r>
            <w:r w:rsidRPr="009714DA">
              <w:rPr>
                <w:rFonts w:ascii="Verdana" w:hAnsi="Verdana"/>
                <w:sz w:val="20"/>
              </w:rPr>
              <w:t xml:space="preserve"> construction work and printing and recorded media reproduction. This substance is used for the manufacture of: plastic products, furniture, textile, leather or fur, chemicals, rubber products, fabricated metal products and machinery and vehicles.</w:t>
            </w:r>
          </w:p>
          <w:p w14:paraId="708FDF33" w14:textId="5BA31F77" w:rsidR="009714DA" w:rsidRDefault="009714DA" w:rsidP="009714DA">
            <w:pPr>
              <w:pStyle w:val="BodyText"/>
              <w:spacing w:after="100" w:afterAutospacing="1"/>
              <w:jc w:val="left"/>
              <w:rPr>
                <w:rFonts w:ascii="Verdana" w:hAnsi="Verdana"/>
                <w:sz w:val="20"/>
              </w:rPr>
            </w:pPr>
            <w:r w:rsidRPr="009714DA">
              <w:rPr>
                <w:rFonts w:ascii="Verdana" w:hAnsi="Verdana"/>
                <w:sz w:val="20"/>
              </w:rPr>
              <w:t xml:space="preserve">This substance is used in the following activities or processes </w:t>
            </w:r>
            <w:r w:rsidR="00B23AD0">
              <w:rPr>
                <w:rFonts w:ascii="Verdana" w:hAnsi="Verdana"/>
                <w:sz w:val="20"/>
              </w:rPr>
              <w:t>at the workp</w:t>
            </w:r>
            <w:r w:rsidRPr="009714DA">
              <w:rPr>
                <w:rFonts w:ascii="Verdana" w:hAnsi="Verdana"/>
                <w:sz w:val="20"/>
              </w:rPr>
              <w:t>lace: hand mixing with intimate contact only with personal protective equipment available, roller or brushing applications, non-industrial spraying, transfer of chemicals and transfer of substance into small containers.</w:t>
            </w:r>
          </w:p>
          <w:p w14:paraId="2CD5D288" w14:textId="43A5C6A1" w:rsidR="00B76BBB" w:rsidRDefault="00B76BBB" w:rsidP="009714DA">
            <w:pPr>
              <w:pStyle w:val="BodyText"/>
              <w:spacing w:after="100" w:afterAutospacing="1"/>
              <w:jc w:val="left"/>
              <w:rPr>
                <w:rFonts w:ascii="Verdana" w:hAnsi="Verdana"/>
                <w:sz w:val="20"/>
              </w:rPr>
            </w:pPr>
            <w:r w:rsidRPr="00B76BBB">
              <w:rPr>
                <w:rFonts w:ascii="Verdana" w:hAnsi="Verdana"/>
                <w:sz w:val="20"/>
              </w:rPr>
              <w:t>Other release to the environment of this substance is likely to occur from: indoor use (e.g. machine wash liquids/detergents, automotive care products, paints and coating or adhesives, fragrances and air fresheners) and outdoor use resulting in inclusion into or onto a materials (e.g. binding agent in paints and coatings or adhesives).</w:t>
            </w:r>
          </w:p>
          <w:p w14:paraId="5A72A16F" w14:textId="2E757226" w:rsidR="009714DA" w:rsidRDefault="009714DA" w:rsidP="00F96065">
            <w:pPr>
              <w:pStyle w:val="BodyText"/>
              <w:spacing w:after="100" w:afterAutospacing="1"/>
              <w:jc w:val="left"/>
              <w:rPr>
                <w:rFonts w:ascii="Verdana" w:hAnsi="Verdana"/>
                <w:sz w:val="20"/>
              </w:rPr>
            </w:pPr>
            <w:r w:rsidRPr="009714DA">
              <w:rPr>
                <w:rFonts w:ascii="Verdana" w:hAnsi="Verdana"/>
                <w:sz w:val="20"/>
              </w:rPr>
              <w:t>The lead applicant’s CSR identifies the following uses</w:t>
            </w:r>
            <w:r>
              <w:rPr>
                <w:rFonts w:ascii="Verdana" w:hAnsi="Verdana"/>
                <w:sz w:val="20"/>
              </w:rPr>
              <w:t xml:space="preserve"> by professional workers</w:t>
            </w:r>
            <w:r w:rsidRPr="009714DA">
              <w:rPr>
                <w:rFonts w:ascii="Verdana" w:hAnsi="Verdana"/>
                <w:sz w:val="20"/>
              </w:rPr>
              <w:t>:</w:t>
            </w:r>
          </w:p>
          <w:p w14:paraId="662FDB19" w14:textId="6D57DE75" w:rsidR="00F96065" w:rsidRDefault="009714DA" w:rsidP="009714DA">
            <w:pPr>
              <w:pStyle w:val="BodyText"/>
              <w:spacing w:after="0"/>
              <w:jc w:val="left"/>
              <w:rPr>
                <w:rFonts w:ascii="Verdana" w:hAnsi="Verdana"/>
                <w:sz w:val="20"/>
              </w:rPr>
            </w:pPr>
            <w:r>
              <w:rPr>
                <w:rFonts w:ascii="Verdana" w:hAnsi="Verdana"/>
                <w:sz w:val="20"/>
              </w:rPr>
              <w:t>Use of p</w:t>
            </w:r>
            <w:r w:rsidR="00F96065">
              <w:rPr>
                <w:rFonts w:ascii="Verdana" w:hAnsi="Verdana"/>
                <w:sz w:val="20"/>
              </w:rPr>
              <w:t>aints and coatings</w:t>
            </w:r>
          </w:p>
          <w:p w14:paraId="5AD8A339" w14:textId="573EB3EA" w:rsidR="00F96065" w:rsidRPr="00863F7C" w:rsidRDefault="009714DA" w:rsidP="009714DA">
            <w:pPr>
              <w:pStyle w:val="BodyText"/>
              <w:spacing w:after="0"/>
              <w:jc w:val="left"/>
              <w:rPr>
                <w:rFonts w:ascii="Verdana" w:hAnsi="Verdana"/>
                <w:sz w:val="20"/>
              </w:rPr>
            </w:pPr>
            <w:r>
              <w:rPr>
                <w:rFonts w:ascii="Verdana" w:hAnsi="Verdana"/>
                <w:sz w:val="20"/>
              </w:rPr>
              <w:t>Use of a</w:t>
            </w:r>
            <w:r w:rsidR="00F96065">
              <w:rPr>
                <w:rFonts w:ascii="Verdana" w:hAnsi="Verdana"/>
                <w:sz w:val="20"/>
              </w:rPr>
              <w:t>dhesives and sealants</w:t>
            </w:r>
          </w:p>
          <w:p w14:paraId="39B96AD9" w14:textId="77777777" w:rsidR="00BD45E8" w:rsidRPr="00863F7C" w:rsidRDefault="00BD45E8" w:rsidP="00863F7C">
            <w:pPr>
              <w:pStyle w:val="BodyText"/>
              <w:spacing w:after="100" w:afterAutospacing="1"/>
              <w:jc w:val="left"/>
              <w:rPr>
                <w:rFonts w:ascii="Verdana" w:hAnsi="Verdana"/>
                <w:sz w:val="20"/>
              </w:rPr>
            </w:pPr>
          </w:p>
        </w:tc>
      </w:tr>
      <w:tr w:rsidR="00BD45E8" w:rsidRPr="00035135" w14:paraId="39B96ADD" w14:textId="77777777" w:rsidTr="00BD45E8">
        <w:tc>
          <w:tcPr>
            <w:tcW w:w="1702" w:type="dxa"/>
            <w:vAlign w:val="center"/>
          </w:tcPr>
          <w:p w14:paraId="39B96ADB" w14:textId="77777777" w:rsidR="00BD45E8" w:rsidRPr="00437844" w:rsidRDefault="00BD45E8" w:rsidP="000E324D">
            <w:pPr>
              <w:pStyle w:val="BodyText"/>
              <w:jc w:val="left"/>
              <w:rPr>
                <w:rFonts w:ascii="Verdana" w:hAnsi="Verdana"/>
                <w:b/>
                <w:sz w:val="20"/>
              </w:rPr>
            </w:pPr>
            <w:r w:rsidRPr="00437844">
              <w:rPr>
                <w:rFonts w:ascii="Verdana" w:hAnsi="Verdana"/>
                <w:b/>
                <w:sz w:val="20"/>
              </w:rPr>
              <w:t>Consumer Uses</w:t>
            </w:r>
          </w:p>
        </w:tc>
        <w:tc>
          <w:tcPr>
            <w:tcW w:w="6804" w:type="dxa"/>
          </w:tcPr>
          <w:p w14:paraId="4C581DBC" w14:textId="3E88746C" w:rsidR="009714DA" w:rsidRDefault="009714DA" w:rsidP="00863F7C">
            <w:pPr>
              <w:pStyle w:val="Caption"/>
              <w:spacing w:after="100" w:afterAutospacing="1"/>
              <w:rPr>
                <w:rFonts w:ascii="Verdana" w:hAnsi="Verdana"/>
                <w:sz w:val="20"/>
                <w:lang w:val="en-IE"/>
              </w:rPr>
            </w:pPr>
            <w:r w:rsidRPr="009714DA">
              <w:rPr>
                <w:rFonts w:ascii="Verdana" w:hAnsi="Verdana"/>
                <w:sz w:val="20"/>
                <w:lang w:val="en-IE"/>
              </w:rPr>
              <w:t>This substance is used in the following products: polymers, adhesives and sealants, coating products and textile treatment products and dyes.</w:t>
            </w:r>
          </w:p>
          <w:p w14:paraId="47CD9100" w14:textId="51D1B4F6" w:rsidR="00B76BBB" w:rsidRPr="00B76BBB" w:rsidRDefault="00B76BBB" w:rsidP="00B76BBB">
            <w:pPr>
              <w:pStyle w:val="BodyText"/>
              <w:rPr>
                <w:rFonts w:ascii="Verdana" w:hAnsi="Verdana"/>
                <w:sz w:val="20"/>
                <w:lang w:val="en-IE"/>
              </w:rPr>
            </w:pPr>
            <w:r w:rsidRPr="00B76BBB">
              <w:rPr>
                <w:rFonts w:ascii="Verdana" w:hAnsi="Verdana"/>
                <w:sz w:val="20"/>
                <w:lang w:val="en-IE"/>
              </w:rPr>
              <w:t xml:space="preserve">Other release to the environment of this substance is likely to occur from: indoor use in long-life materials with low release rate </w:t>
            </w:r>
            <w:r w:rsidRPr="00B76BBB">
              <w:rPr>
                <w:rFonts w:ascii="Verdana" w:hAnsi="Verdana"/>
                <w:sz w:val="20"/>
                <w:lang w:val="en-IE"/>
              </w:rPr>
              <w:lastRenderedPageBreak/>
              <w:t>(e.g. flooring, furniture, toys, construction materials, curtains, foot-wear, leather products, paper and cardboard products, electronic equipment) and outdoor use in long-life materials with low release rate (e.g. metal, wooden and plastic construction and building materials).</w:t>
            </w:r>
          </w:p>
          <w:p w14:paraId="39B96ADC" w14:textId="646327C7" w:rsidR="00BD45E8" w:rsidRPr="00863F7C" w:rsidRDefault="009714DA" w:rsidP="009714DA">
            <w:pPr>
              <w:pStyle w:val="Caption"/>
              <w:spacing w:after="100" w:afterAutospacing="1"/>
              <w:rPr>
                <w:rFonts w:ascii="Verdana" w:hAnsi="Verdana"/>
                <w:sz w:val="20"/>
                <w:lang w:val="en-IE"/>
              </w:rPr>
            </w:pPr>
            <w:r w:rsidRPr="009714DA">
              <w:rPr>
                <w:rFonts w:ascii="Verdana" w:hAnsi="Verdana"/>
                <w:sz w:val="20"/>
                <w:lang w:val="en-IE"/>
              </w:rPr>
              <w:t xml:space="preserve">The lead applicant’s CSR </w:t>
            </w:r>
            <w:r>
              <w:rPr>
                <w:rFonts w:ascii="Verdana" w:hAnsi="Verdana"/>
                <w:sz w:val="20"/>
                <w:lang w:val="en-IE"/>
              </w:rPr>
              <w:t xml:space="preserve">does not </w:t>
            </w:r>
            <w:r w:rsidRPr="009714DA">
              <w:rPr>
                <w:rFonts w:ascii="Verdana" w:hAnsi="Verdana"/>
                <w:sz w:val="20"/>
                <w:lang w:val="en-IE"/>
              </w:rPr>
              <w:t>identif</w:t>
            </w:r>
            <w:r>
              <w:rPr>
                <w:rFonts w:ascii="Verdana" w:hAnsi="Verdana"/>
                <w:sz w:val="20"/>
                <w:lang w:val="en-IE"/>
              </w:rPr>
              <w:t>y any consumer uses.</w:t>
            </w:r>
          </w:p>
        </w:tc>
      </w:tr>
      <w:tr w:rsidR="00BD45E8" w:rsidRPr="00035135" w14:paraId="39B96AE0" w14:textId="77777777" w:rsidTr="00BD45E8">
        <w:tc>
          <w:tcPr>
            <w:tcW w:w="1702" w:type="dxa"/>
            <w:vAlign w:val="center"/>
          </w:tcPr>
          <w:p w14:paraId="39B96ADE" w14:textId="77777777" w:rsidR="00BD45E8" w:rsidRPr="00437844" w:rsidRDefault="00BD45E8" w:rsidP="000E324D">
            <w:pPr>
              <w:pStyle w:val="BodyText"/>
              <w:jc w:val="left"/>
              <w:rPr>
                <w:rFonts w:ascii="Verdana" w:hAnsi="Verdana"/>
                <w:b/>
                <w:sz w:val="20"/>
              </w:rPr>
            </w:pPr>
            <w:r w:rsidRPr="00437844">
              <w:rPr>
                <w:rFonts w:ascii="Verdana" w:hAnsi="Verdana"/>
                <w:b/>
                <w:sz w:val="20"/>
                <w:lang w:val="en-IE"/>
              </w:rPr>
              <w:lastRenderedPageBreak/>
              <w:t>Article service life</w:t>
            </w:r>
          </w:p>
        </w:tc>
        <w:tc>
          <w:tcPr>
            <w:tcW w:w="6804" w:type="dxa"/>
          </w:tcPr>
          <w:p w14:paraId="1649527B" w14:textId="0616E35A" w:rsidR="009714DA" w:rsidRDefault="009714DA" w:rsidP="009714DA">
            <w:pPr>
              <w:pStyle w:val="Caption"/>
              <w:spacing w:before="0" w:after="0"/>
              <w:rPr>
                <w:rFonts w:ascii="Verdana" w:hAnsi="Verdana"/>
                <w:sz w:val="20"/>
                <w:lang w:val="en-IE"/>
              </w:rPr>
            </w:pPr>
            <w:r w:rsidRPr="009714DA">
              <w:rPr>
                <w:rFonts w:ascii="Verdana" w:hAnsi="Verdana"/>
                <w:sz w:val="20"/>
                <w:lang w:val="en-IE"/>
              </w:rPr>
              <w:t xml:space="preserve">This substance is used in the following activities or processes </w:t>
            </w:r>
            <w:r w:rsidR="00B23AD0">
              <w:rPr>
                <w:rFonts w:ascii="Verdana" w:hAnsi="Verdana"/>
                <w:sz w:val="20"/>
                <w:lang w:val="en-IE"/>
              </w:rPr>
              <w:t>at the workp</w:t>
            </w:r>
            <w:r w:rsidRPr="009714DA">
              <w:rPr>
                <w:rFonts w:ascii="Verdana" w:hAnsi="Verdana"/>
                <w:sz w:val="20"/>
                <w:lang w:val="en-IE"/>
              </w:rPr>
              <w:t xml:space="preserve">lace: high energy work-up of substances bound in materials or articles (e.g. hot rolling/forming, grinding, mechanical cutting, drilling or sanding), the low energy manipulation of substances bound in materials or articles, production of mixtures or articles by tabletting, compression, extrusion or </w:t>
            </w:r>
            <w:proofErr w:type="spellStart"/>
            <w:r w:rsidRPr="009714DA">
              <w:rPr>
                <w:rFonts w:ascii="Verdana" w:hAnsi="Verdana"/>
                <w:sz w:val="20"/>
                <w:lang w:val="en-IE"/>
              </w:rPr>
              <w:t>pelletisation</w:t>
            </w:r>
            <w:proofErr w:type="spellEnd"/>
            <w:r w:rsidRPr="009714DA">
              <w:rPr>
                <w:rFonts w:ascii="Verdana" w:hAnsi="Verdana"/>
                <w:sz w:val="20"/>
                <w:lang w:val="en-IE"/>
              </w:rPr>
              <w:t xml:space="preserve"> and open transfer and processing with minerals/metals at elevated temperature.</w:t>
            </w:r>
          </w:p>
          <w:p w14:paraId="0C488465" w14:textId="77777777" w:rsidR="009714DA" w:rsidRPr="009714DA" w:rsidRDefault="009714DA" w:rsidP="009714DA">
            <w:pPr>
              <w:pStyle w:val="BodyText"/>
              <w:spacing w:after="0"/>
              <w:rPr>
                <w:lang w:val="en-IE"/>
              </w:rPr>
            </w:pPr>
          </w:p>
          <w:p w14:paraId="15EDFA2C" w14:textId="77777777" w:rsidR="009714DA" w:rsidRDefault="009714DA" w:rsidP="009714DA">
            <w:pPr>
              <w:pStyle w:val="Caption"/>
              <w:spacing w:before="0" w:after="0"/>
              <w:rPr>
                <w:rFonts w:ascii="Verdana" w:hAnsi="Verdana"/>
                <w:sz w:val="20"/>
                <w:lang w:val="en-IE"/>
              </w:rPr>
            </w:pPr>
            <w:r w:rsidRPr="009714DA">
              <w:rPr>
                <w:rFonts w:ascii="Verdana" w:hAnsi="Verdana"/>
                <w:sz w:val="20"/>
                <w:lang w:val="en-IE"/>
              </w:rPr>
              <w:t>Release to the environment of this substance can occur from industrial use: in processing aids at industrial sites, formulation of mixtures and in the production of articles. Other release to the environment of this substance is likely to occur from: indoor use in long-life materials with low release rate (e.g. flooring, furniture, toys, construction materials, curtains, foot-wear, leather products, paper and cardboard products, electronic equipment), outdoor use in long-life materials with low release rate (e.g. metal, wooden and plastic construction and building materials) and indoor use (e.g. machine wash liquids/detergents, automotive care products, paints and coating or adhesives, fragrances and air fresheners).</w:t>
            </w:r>
          </w:p>
          <w:p w14:paraId="4203979F" w14:textId="77777777" w:rsidR="009714DA" w:rsidRPr="009714DA" w:rsidRDefault="009714DA" w:rsidP="009714DA">
            <w:pPr>
              <w:pStyle w:val="BodyText"/>
              <w:spacing w:after="0"/>
              <w:rPr>
                <w:lang w:val="en-IE"/>
              </w:rPr>
            </w:pPr>
          </w:p>
          <w:p w14:paraId="45743990" w14:textId="65A33A61" w:rsidR="009714DA" w:rsidRDefault="009714DA" w:rsidP="009714DA">
            <w:pPr>
              <w:pStyle w:val="Caption"/>
              <w:spacing w:before="0" w:after="0"/>
              <w:ind w:left="0"/>
              <w:rPr>
                <w:rFonts w:ascii="Verdana" w:hAnsi="Verdana"/>
                <w:sz w:val="20"/>
                <w:lang w:val="en-IE"/>
              </w:rPr>
            </w:pPr>
            <w:r w:rsidRPr="009714DA">
              <w:rPr>
                <w:rFonts w:ascii="Verdana" w:hAnsi="Verdana"/>
                <w:sz w:val="20"/>
                <w:lang w:val="en-IE"/>
              </w:rPr>
              <w:t>This substance can be found in products with material based on: rubber (e.g. tyres, shoes, toys), plastic (e.g. food packaging and storage, toys, mobile phones), paper (e.g. tissues, feminine hygiene products, nappies, books, magazines, wallpaper), plastic used for large surface area articles (e.g. construction and building materials for flooring, insulation), leather (e.g. gloves, shoes, purses, furniture) and fabrics, textiles and apparel (e.g. clothing, mattress, curtains or carpets, textile toys).</w:t>
            </w:r>
          </w:p>
          <w:p w14:paraId="1F8793E0" w14:textId="77777777" w:rsidR="009714DA" w:rsidRDefault="009714DA" w:rsidP="009714DA">
            <w:pPr>
              <w:pStyle w:val="Caption"/>
              <w:spacing w:before="0" w:after="0"/>
              <w:ind w:left="0"/>
              <w:rPr>
                <w:rFonts w:ascii="Verdana" w:hAnsi="Verdana"/>
                <w:sz w:val="20"/>
                <w:lang w:val="en-IE"/>
              </w:rPr>
            </w:pPr>
          </w:p>
          <w:p w14:paraId="16D11957" w14:textId="2AB884C0" w:rsidR="009714DA" w:rsidRDefault="009714DA" w:rsidP="009714DA">
            <w:pPr>
              <w:pStyle w:val="Caption"/>
              <w:spacing w:before="0" w:after="0"/>
              <w:ind w:left="0"/>
              <w:rPr>
                <w:rFonts w:ascii="Verdana" w:hAnsi="Verdana"/>
                <w:sz w:val="20"/>
                <w:lang w:val="en-IE"/>
              </w:rPr>
            </w:pPr>
            <w:r w:rsidRPr="009714DA">
              <w:rPr>
                <w:rFonts w:ascii="Verdana" w:hAnsi="Verdana"/>
                <w:sz w:val="20"/>
                <w:lang w:val="en-IE"/>
              </w:rPr>
              <w:t>The lead applicant’s CSR</w:t>
            </w:r>
            <w:r>
              <w:rPr>
                <w:rFonts w:ascii="Verdana" w:hAnsi="Verdana"/>
                <w:sz w:val="20"/>
                <w:lang w:val="en-IE"/>
              </w:rPr>
              <w:t xml:space="preserve"> identifies the following uses:</w:t>
            </w:r>
          </w:p>
          <w:p w14:paraId="03C988E1" w14:textId="77777777" w:rsidR="009714DA" w:rsidRPr="009714DA" w:rsidRDefault="009714DA" w:rsidP="009714DA">
            <w:pPr>
              <w:pStyle w:val="BodyText"/>
              <w:spacing w:after="0"/>
              <w:rPr>
                <w:lang w:val="en-IE"/>
              </w:rPr>
            </w:pPr>
          </w:p>
          <w:p w14:paraId="57A63DF0" w14:textId="77777777" w:rsidR="00BD45E8" w:rsidRPr="00863F7C" w:rsidRDefault="00863F7C" w:rsidP="009714DA">
            <w:pPr>
              <w:pStyle w:val="Caption"/>
              <w:spacing w:before="0" w:after="0"/>
              <w:ind w:left="0"/>
              <w:rPr>
                <w:rFonts w:ascii="Verdana" w:hAnsi="Verdana"/>
                <w:sz w:val="20"/>
                <w:lang w:val="en-IE"/>
              </w:rPr>
            </w:pPr>
            <w:r w:rsidRPr="00863F7C">
              <w:rPr>
                <w:rFonts w:ascii="Verdana" w:hAnsi="Verdana"/>
                <w:sz w:val="20"/>
                <w:lang w:val="en-IE"/>
              </w:rPr>
              <w:t>PVC and rubber articles (indoors)</w:t>
            </w:r>
          </w:p>
          <w:p w14:paraId="4CFF51F4" w14:textId="77777777" w:rsidR="00863F7C" w:rsidRPr="00863F7C" w:rsidRDefault="00863F7C" w:rsidP="009714DA">
            <w:pPr>
              <w:pStyle w:val="BodyText"/>
              <w:spacing w:after="0"/>
              <w:rPr>
                <w:rFonts w:ascii="Verdana" w:hAnsi="Verdana"/>
                <w:sz w:val="20"/>
                <w:lang w:val="en-IE"/>
              </w:rPr>
            </w:pPr>
            <w:r w:rsidRPr="00863F7C">
              <w:rPr>
                <w:rFonts w:ascii="Verdana" w:hAnsi="Verdana"/>
                <w:sz w:val="20"/>
                <w:lang w:val="en-IE"/>
              </w:rPr>
              <w:t>Textiles (indoors and outdoors)</w:t>
            </w:r>
          </w:p>
          <w:p w14:paraId="3337E52F" w14:textId="77777777" w:rsidR="00863F7C" w:rsidRDefault="00863F7C" w:rsidP="009714DA">
            <w:pPr>
              <w:pStyle w:val="BodyText"/>
              <w:spacing w:after="0"/>
              <w:rPr>
                <w:rFonts w:ascii="Verdana" w:hAnsi="Verdana"/>
                <w:sz w:val="20"/>
                <w:lang w:val="en-IE"/>
              </w:rPr>
            </w:pPr>
            <w:r w:rsidRPr="00863F7C">
              <w:rPr>
                <w:rFonts w:ascii="Verdana" w:hAnsi="Verdana"/>
                <w:sz w:val="20"/>
                <w:lang w:val="en-IE"/>
              </w:rPr>
              <w:t>Adhesives and sealants (indoors and outdoors)</w:t>
            </w:r>
          </w:p>
          <w:p w14:paraId="39B96ADF" w14:textId="1152635A" w:rsidR="00863F7C" w:rsidRPr="00863F7C" w:rsidRDefault="00F96065" w:rsidP="009714DA">
            <w:pPr>
              <w:pStyle w:val="BodyText"/>
              <w:spacing w:after="0"/>
              <w:rPr>
                <w:rFonts w:ascii="Verdana" w:hAnsi="Verdana"/>
                <w:sz w:val="20"/>
                <w:lang w:val="en-IE"/>
              </w:rPr>
            </w:pPr>
            <w:r>
              <w:rPr>
                <w:rFonts w:ascii="Verdana" w:hAnsi="Verdana"/>
                <w:sz w:val="20"/>
                <w:lang w:val="en-IE"/>
              </w:rPr>
              <w:t>Paints and coatings (indoors and outdoors)</w:t>
            </w:r>
          </w:p>
        </w:tc>
      </w:tr>
    </w:tbl>
    <w:p w14:paraId="430B04CA" w14:textId="77777777" w:rsidR="00893E0E" w:rsidRDefault="00893E0E" w:rsidP="00173FB3">
      <w:pPr>
        <w:pStyle w:val="BodyText"/>
        <w:rPr>
          <w:rFonts w:ascii="Verdana" w:hAnsi="Verdana"/>
          <w:sz w:val="20"/>
        </w:rPr>
      </w:pPr>
    </w:p>
    <w:p w14:paraId="39B96AE2" w14:textId="1DC36513" w:rsidR="00D74ADF" w:rsidRDefault="00246BCC" w:rsidP="00173FB3">
      <w:pPr>
        <w:pStyle w:val="BodyText"/>
        <w:rPr>
          <w:rFonts w:ascii="Verdana" w:hAnsi="Verdana"/>
          <w:sz w:val="20"/>
        </w:rPr>
      </w:pPr>
      <w:r w:rsidRPr="00246BCC">
        <w:rPr>
          <w:rFonts w:ascii="Verdana" w:hAnsi="Verdana"/>
          <w:sz w:val="20"/>
        </w:rPr>
        <w:t xml:space="preserve">Since the </w:t>
      </w:r>
      <w:r>
        <w:rPr>
          <w:rFonts w:ascii="Verdana" w:hAnsi="Verdana"/>
          <w:sz w:val="20"/>
        </w:rPr>
        <w:t>transition dossier was issued</w:t>
      </w:r>
      <w:r w:rsidR="008E055B">
        <w:rPr>
          <w:rFonts w:ascii="Verdana" w:hAnsi="Verdana"/>
          <w:sz w:val="20"/>
        </w:rPr>
        <w:t xml:space="preserve"> in 2008</w:t>
      </w:r>
      <w:r>
        <w:rPr>
          <w:rFonts w:ascii="Verdana" w:hAnsi="Verdana"/>
          <w:sz w:val="20"/>
        </w:rPr>
        <w:t>, use in leather fat-liquors and carbon copy paper appears to have ceased</w:t>
      </w:r>
      <w:r w:rsidR="00B23AD0">
        <w:rPr>
          <w:rFonts w:ascii="Verdana" w:hAnsi="Verdana"/>
          <w:sz w:val="20"/>
        </w:rPr>
        <w:t xml:space="preserve"> </w:t>
      </w:r>
      <w:r w:rsidR="00CB7C56">
        <w:rPr>
          <w:rFonts w:ascii="Verdana" w:hAnsi="Verdana"/>
          <w:sz w:val="20"/>
        </w:rPr>
        <w:t xml:space="preserve">in the EU </w:t>
      </w:r>
      <w:r w:rsidR="00B23AD0">
        <w:rPr>
          <w:rFonts w:ascii="Verdana" w:hAnsi="Verdana"/>
          <w:sz w:val="20"/>
        </w:rPr>
        <w:t>as they are not mentioned in the REACH registrations</w:t>
      </w:r>
      <w:r>
        <w:rPr>
          <w:rFonts w:ascii="Verdana" w:hAnsi="Verdana"/>
          <w:sz w:val="20"/>
        </w:rPr>
        <w:t>.</w:t>
      </w:r>
      <w:r w:rsidR="00922BAB">
        <w:rPr>
          <w:rFonts w:ascii="Verdana" w:hAnsi="Verdana"/>
          <w:sz w:val="20"/>
        </w:rPr>
        <w:t xml:space="preserve"> </w:t>
      </w:r>
      <w:r w:rsidR="00665807">
        <w:rPr>
          <w:rFonts w:ascii="Verdana" w:hAnsi="Verdana"/>
          <w:sz w:val="20"/>
        </w:rPr>
        <w:t>It is not known whether</w:t>
      </w:r>
      <w:r w:rsidR="00137776">
        <w:rPr>
          <w:rFonts w:ascii="Verdana" w:hAnsi="Verdana"/>
          <w:sz w:val="20"/>
        </w:rPr>
        <w:t xml:space="preserve"> imported leather goods</w:t>
      </w:r>
      <w:r w:rsidR="00665807">
        <w:rPr>
          <w:rFonts w:ascii="Verdana" w:hAnsi="Verdana"/>
          <w:sz w:val="20"/>
        </w:rPr>
        <w:t xml:space="preserve"> or carbon copy paper</w:t>
      </w:r>
      <w:r w:rsidR="00137776">
        <w:rPr>
          <w:rFonts w:ascii="Verdana" w:hAnsi="Verdana"/>
          <w:sz w:val="20"/>
        </w:rPr>
        <w:t xml:space="preserve"> </w:t>
      </w:r>
      <w:r w:rsidR="00665807">
        <w:rPr>
          <w:rFonts w:ascii="Verdana" w:hAnsi="Verdana"/>
          <w:sz w:val="20"/>
        </w:rPr>
        <w:t xml:space="preserve">contain MCCP residues. </w:t>
      </w:r>
      <w:r w:rsidR="00922BAB" w:rsidRPr="009C4562">
        <w:rPr>
          <w:rFonts w:ascii="Verdana" w:hAnsi="Verdana"/>
          <w:sz w:val="20"/>
        </w:rPr>
        <w:t>The CSR does not</w:t>
      </w:r>
      <w:r w:rsidR="009C4562" w:rsidRPr="009C4562">
        <w:rPr>
          <w:rFonts w:ascii="Verdana" w:hAnsi="Verdana"/>
          <w:sz w:val="20"/>
        </w:rPr>
        <w:t>, however,</w:t>
      </w:r>
      <w:r w:rsidR="00922BAB" w:rsidRPr="009C4562">
        <w:rPr>
          <w:rFonts w:ascii="Verdana" w:hAnsi="Verdana"/>
          <w:sz w:val="20"/>
        </w:rPr>
        <w:t xml:space="preserve"> explicitly advise against any uses.</w:t>
      </w:r>
      <w:r w:rsidR="00CB7C56">
        <w:rPr>
          <w:rFonts w:ascii="Verdana" w:hAnsi="Verdana"/>
          <w:sz w:val="20"/>
        </w:rPr>
        <w:t xml:space="preserve"> </w:t>
      </w:r>
    </w:p>
    <w:p w14:paraId="320A6D0E" w14:textId="77777777" w:rsidR="00137776" w:rsidRDefault="00137776" w:rsidP="00173FB3">
      <w:pPr>
        <w:pStyle w:val="BodyText"/>
        <w:rPr>
          <w:rFonts w:ascii="Verdana" w:hAnsi="Verdana"/>
          <w:sz w:val="20"/>
        </w:rPr>
      </w:pPr>
    </w:p>
    <w:p w14:paraId="39B96AE3" w14:textId="77777777" w:rsidR="001A4BCD" w:rsidRDefault="001A4BCD" w:rsidP="00137776">
      <w:pPr>
        <w:pStyle w:val="Heading2"/>
        <w:tabs>
          <w:tab w:val="clear" w:pos="839"/>
          <w:tab w:val="num" w:pos="540"/>
        </w:tabs>
        <w:spacing w:before="240"/>
        <w:ind w:left="540" w:hanging="540"/>
        <w:rPr>
          <w:szCs w:val="24"/>
        </w:rPr>
      </w:pPr>
      <w:r w:rsidRPr="00F23911">
        <w:rPr>
          <w:szCs w:val="24"/>
        </w:rPr>
        <w:lastRenderedPageBreak/>
        <w:t>Additional information</w:t>
      </w:r>
    </w:p>
    <w:p w14:paraId="3D43FCAC" w14:textId="1B1EF744" w:rsidR="00533DBE" w:rsidRDefault="00533DBE" w:rsidP="00533DBE">
      <w:pPr>
        <w:pStyle w:val="Heading3"/>
      </w:pPr>
      <w:r>
        <w:t>Emissions and exposure</w:t>
      </w:r>
    </w:p>
    <w:p w14:paraId="459BA55B" w14:textId="7469E13D" w:rsidR="003C3027" w:rsidRDefault="00600374" w:rsidP="00600374">
      <w:pPr>
        <w:spacing w:after="0"/>
        <w:jc w:val="both"/>
        <w:rPr>
          <w:rFonts w:ascii="Verdana" w:hAnsi="Verdana"/>
          <w:sz w:val="20"/>
          <w:szCs w:val="20"/>
          <w:lang w:val="en-GB"/>
        </w:rPr>
      </w:pPr>
      <w:r>
        <w:rPr>
          <w:rFonts w:ascii="Verdana" w:hAnsi="Verdana"/>
          <w:sz w:val="20"/>
          <w:szCs w:val="20"/>
          <w:lang w:val="en-GB"/>
        </w:rPr>
        <w:t xml:space="preserve">The lead </w:t>
      </w:r>
      <w:r w:rsidR="00622924">
        <w:rPr>
          <w:rFonts w:ascii="Verdana" w:hAnsi="Verdana"/>
          <w:sz w:val="20"/>
          <w:szCs w:val="20"/>
          <w:lang w:val="en-GB"/>
        </w:rPr>
        <w:t>Registrant</w:t>
      </w:r>
      <w:r>
        <w:rPr>
          <w:rFonts w:ascii="Verdana" w:hAnsi="Verdana"/>
          <w:sz w:val="20"/>
          <w:szCs w:val="20"/>
          <w:lang w:val="en-GB"/>
        </w:rPr>
        <w:t xml:space="preserve"> </w:t>
      </w:r>
      <w:r w:rsidRPr="001B0749">
        <w:rPr>
          <w:rFonts w:ascii="Verdana" w:hAnsi="Verdana"/>
          <w:sz w:val="20"/>
          <w:szCs w:val="20"/>
          <w:lang w:val="en-GB"/>
        </w:rPr>
        <w:t xml:space="preserve">included an exposure assessment in their Chemical Safety Report (CSR) in the REACH registration dossier and calculated the </w:t>
      </w:r>
      <w:r w:rsidR="000E0C0E">
        <w:rPr>
          <w:rFonts w:ascii="Verdana" w:hAnsi="Verdana"/>
          <w:sz w:val="20"/>
          <w:szCs w:val="20"/>
          <w:lang w:val="en-GB"/>
        </w:rPr>
        <w:t>loca</w:t>
      </w:r>
      <w:r w:rsidRPr="001B0749">
        <w:rPr>
          <w:rFonts w:ascii="Verdana" w:hAnsi="Verdana"/>
          <w:sz w:val="20"/>
          <w:szCs w:val="20"/>
          <w:lang w:val="en-GB"/>
        </w:rPr>
        <w:t xml:space="preserve">l releases to </w:t>
      </w:r>
      <w:r w:rsidR="00CA65F8">
        <w:rPr>
          <w:rFonts w:ascii="Verdana" w:hAnsi="Verdana"/>
          <w:sz w:val="20"/>
          <w:szCs w:val="20"/>
          <w:lang w:val="en-GB"/>
        </w:rPr>
        <w:t xml:space="preserve">wastewater, air and soil </w:t>
      </w:r>
      <w:r w:rsidRPr="001B0749">
        <w:rPr>
          <w:rFonts w:ascii="Verdana" w:hAnsi="Verdana"/>
          <w:sz w:val="20"/>
          <w:szCs w:val="20"/>
          <w:lang w:val="en-GB"/>
        </w:rPr>
        <w:t xml:space="preserve">from all </w:t>
      </w:r>
      <w:r w:rsidR="00CA65F8">
        <w:rPr>
          <w:rFonts w:ascii="Verdana" w:hAnsi="Verdana"/>
          <w:sz w:val="20"/>
          <w:szCs w:val="20"/>
          <w:lang w:val="en-GB"/>
        </w:rPr>
        <w:t xml:space="preserve">relevant </w:t>
      </w:r>
      <w:r w:rsidRPr="001B0749">
        <w:rPr>
          <w:rFonts w:ascii="Verdana" w:hAnsi="Verdana"/>
          <w:sz w:val="20"/>
          <w:szCs w:val="20"/>
          <w:lang w:val="en-GB"/>
        </w:rPr>
        <w:t xml:space="preserve">exposure scenarios. </w:t>
      </w:r>
      <w:r w:rsidR="003C3027">
        <w:rPr>
          <w:rFonts w:ascii="Verdana" w:hAnsi="Verdana"/>
          <w:sz w:val="20"/>
          <w:szCs w:val="20"/>
          <w:lang w:val="en-GB"/>
        </w:rPr>
        <w:t xml:space="preserve">Environmental releases via emissions to solid waste streams were not </w:t>
      </w:r>
      <w:r w:rsidR="008E055B">
        <w:rPr>
          <w:rFonts w:ascii="Verdana" w:hAnsi="Verdana"/>
          <w:sz w:val="20"/>
          <w:szCs w:val="20"/>
          <w:lang w:val="en-GB"/>
        </w:rPr>
        <w:t xml:space="preserve">explicitly </w:t>
      </w:r>
      <w:r w:rsidR="003C3027">
        <w:rPr>
          <w:rFonts w:ascii="Verdana" w:hAnsi="Verdana"/>
          <w:sz w:val="20"/>
          <w:szCs w:val="20"/>
          <w:lang w:val="en-GB"/>
        </w:rPr>
        <w:t>considered, even though this may be a significant route for some uses such as waste paper recycling (sludge to land)</w:t>
      </w:r>
      <w:r w:rsidR="00A465FA">
        <w:rPr>
          <w:rFonts w:ascii="Verdana" w:hAnsi="Verdana"/>
          <w:sz w:val="20"/>
          <w:szCs w:val="20"/>
          <w:lang w:val="en-GB"/>
        </w:rPr>
        <w:t>.</w:t>
      </w:r>
      <w:r w:rsidR="003C3027">
        <w:rPr>
          <w:rFonts w:ascii="Verdana" w:hAnsi="Verdana"/>
          <w:sz w:val="20"/>
          <w:szCs w:val="20"/>
          <w:lang w:val="en-GB"/>
        </w:rPr>
        <w:t xml:space="preserve"> </w:t>
      </w:r>
    </w:p>
    <w:p w14:paraId="101DC007" w14:textId="77777777" w:rsidR="003C3027" w:rsidRDefault="003C3027" w:rsidP="00600374">
      <w:pPr>
        <w:spacing w:after="0"/>
        <w:jc w:val="both"/>
        <w:rPr>
          <w:rFonts w:ascii="Verdana" w:hAnsi="Verdana"/>
          <w:sz w:val="20"/>
          <w:szCs w:val="20"/>
          <w:lang w:val="en-GB"/>
        </w:rPr>
      </w:pPr>
    </w:p>
    <w:p w14:paraId="08B4D4EE" w14:textId="764884B8" w:rsidR="00600374" w:rsidRDefault="00600374" w:rsidP="00600374">
      <w:pPr>
        <w:spacing w:after="0"/>
        <w:jc w:val="both"/>
        <w:rPr>
          <w:rFonts w:ascii="Verdana" w:hAnsi="Verdana"/>
          <w:sz w:val="20"/>
          <w:szCs w:val="20"/>
          <w:lang w:val="en-GB"/>
        </w:rPr>
      </w:pPr>
      <w:r w:rsidRPr="001B0749">
        <w:rPr>
          <w:rFonts w:ascii="Verdana" w:hAnsi="Verdana"/>
          <w:sz w:val="20"/>
          <w:szCs w:val="20"/>
          <w:lang w:val="en-GB"/>
        </w:rPr>
        <w:t>The</w:t>
      </w:r>
      <w:r w:rsidR="00CA65F8">
        <w:rPr>
          <w:rFonts w:ascii="Verdana" w:hAnsi="Verdana"/>
          <w:sz w:val="20"/>
          <w:szCs w:val="20"/>
          <w:lang w:val="en-GB"/>
        </w:rPr>
        <w:t xml:space="preserve"> release</w:t>
      </w:r>
      <w:r w:rsidR="003C3027">
        <w:rPr>
          <w:rFonts w:ascii="Verdana" w:hAnsi="Verdana"/>
          <w:sz w:val="20"/>
          <w:szCs w:val="20"/>
          <w:lang w:val="en-GB"/>
        </w:rPr>
        <w:t xml:space="preserve"> estimates</w:t>
      </w:r>
      <w:r w:rsidR="00CA65F8">
        <w:rPr>
          <w:rFonts w:ascii="Verdana" w:hAnsi="Verdana"/>
          <w:sz w:val="20"/>
          <w:szCs w:val="20"/>
          <w:lang w:val="en-GB"/>
        </w:rPr>
        <w:t xml:space="preserve"> </w:t>
      </w:r>
      <w:r w:rsidR="00893E0E">
        <w:rPr>
          <w:rFonts w:ascii="Verdana" w:hAnsi="Verdana"/>
          <w:sz w:val="20"/>
          <w:szCs w:val="20"/>
          <w:lang w:val="en-GB"/>
        </w:rPr>
        <w:t xml:space="preserve">presented in </w:t>
      </w:r>
      <w:r w:rsidR="00F07BA6">
        <w:rPr>
          <w:rFonts w:ascii="Verdana" w:hAnsi="Verdana"/>
          <w:sz w:val="20"/>
          <w:szCs w:val="20"/>
          <w:lang w:val="en-GB"/>
        </w:rPr>
        <w:fldChar w:fldCharType="begin"/>
      </w:r>
      <w:r w:rsidR="00F07BA6">
        <w:rPr>
          <w:rFonts w:ascii="Verdana" w:hAnsi="Verdana"/>
          <w:sz w:val="20"/>
          <w:szCs w:val="20"/>
          <w:lang w:val="en-GB"/>
        </w:rPr>
        <w:instrText xml:space="preserve"> REF _Ref23865173 \h </w:instrText>
      </w:r>
      <w:r w:rsidR="00F07BA6">
        <w:rPr>
          <w:rFonts w:ascii="Verdana" w:hAnsi="Verdana"/>
          <w:sz w:val="20"/>
          <w:szCs w:val="20"/>
          <w:lang w:val="en-GB"/>
        </w:rPr>
      </w:r>
      <w:r w:rsidR="00F07BA6">
        <w:rPr>
          <w:rFonts w:ascii="Verdana" w:hAnsi="Verdana"/>
          <w:sz w:val="20"/>
          <w:szCs w:val="20"/>
          <w:lang w:val="en-GB"/>
        </w:rPr>
        <w:fldChar w:fldCharType="separate"/>
      </w:r>
      <w:r w:rsidR="00F07BA6" w:rsidRPr="00F07BA6">
        <w:rPr>
          <w:rFonts w:ascii="Verdana" w:hAnsi="Verdana"/>
          <w:b/>
          <w:sz w:val="20"/>
          <w:szCs w:val="20"/>
        </w:rPr>
        <w:t xml:space="preserve">Table </w:t>
      </w:r>
      <w:r w:rsidR="00F07BA6">
        <w:rPr>
          <w:rFonts w:ascii="Verdana" w:hAnsi="Verdana"/>
          <w:b/>
          <w:noProof/>
          <w:sz w:val="20"/>
        </w:rPr>
        <w:t>8</w:t>
      </w:r>
      <w:r w:rsidR="00F07BA6">
        <w:rPr>
          <w:rFonts w:ascii="Verdana" w:hAnsi="Verdana"/>
          <w:sz w:val="20"/>
          <w:szCs w:val="20"/>
          <w:lang w:val="en-GB"/>
        </w:rPr>
        <w:fldChar w:fldCharType="end"/>
      </w:r>
      <w:r w:rsidR="00893E0E">
        <w:rPr>
          <w:rFonts w:ascii="Verdana" w:hAnsi="Verdana"/>
          <w:sz w:val="20"/>
          <w:szCs w:val="20"/>
          <w:lang w:val="en-GB"/>
        </w:rPr>
        <w:t xml:space="preserve"> </w:t>
      </w:r>
      <w:r w:rsidR="00D95FB5">
        <w:rPr>
          <w:rFonts w:ascii="Verdana" w:hAnsi="Verdana"/>
          <w:sz w:val="20"/>
          <w:szCs w:val="20"/>
          <w:lang w:val="en-GB"/>
        </w:rPr>
        <w:t xml:space="preserve">and </w:t>
      </w:r>
      <w:r w:rsidR="00F07BA6">
        <w:rPr>
          <w:rFonts w:ascii="Verdana" w:hAnsi="Verdana"/>
          <w:sz w:val="20"/>
          <w:szCs w:val="20"/>
          <w:lang w:val="en-GB"/>
        </w:rPr>
        <w:fldChar w:fldCharType="begin"/>
      </w:r>
      <w:r w:rsidR="00F07BA6">
        <w:rPr>
          <w:rFonts w:ascii="Verdana" w:hAnsi="Verdana"/>
          <w:sz w:val="20"/>
          <w:szCs w:val="20"/>
          <w:lang w:val="en-GB"/>
        </w:rPr>
        <w:instrText xml:space="preserve"> REF _Ref23865183 \h </w:instrText>
      </w:r>
      <w:r w:rsidR="00F07BA6">
        <w:rPr>
          <w:rFonts w:ascii="Verdana" w:hAnsi="Verdana"/>
          <w:sz w:val="20"/>
          <w:szCs w:val="20"/>
          <w:lang w:val="en-GB"/>
        </w:rPr>
      </w:r>
      <w:r w:rsidR="00F07BA6">
        <w:rPr>
          <w:rFonts w:ascii="Verdana" w:hAnsi="Verdana"/>
          <w:sz w:val="20"/>
          <w:szCs w:val="20"/>
          <w:lang w:val="en-GB"/>
        </w:rPr>
        <w:fldChar w:fldCharType="separate"/>
      </w:r>
      <w:r w:rsidR="00F07BA6" w:rsidRPr="00F07BA6">
        <w:rPr>
          <w:rFonts w:ascii="Verdana" w:hAnsi="Verdana"/>
          <w:b/>
          <w:sz w:val="20"/>
          <w:szCs w:val="20"/>
        </w:rPr>
        <w:t xml:space="preserve">Table </w:t>
      </w:r>
      <w:r w:rsidR="00F07BA6" w:rsidRPr="00F07BA6">
        <w:rPr>
          <w:rFonts w:ascii="Verdana" w:hAnsi="Verdana"/>
          <w:b/>
          <w:noProof/>
          <w:sz w:val="20"/>
          <w:szCs w:val="20"/>
        </w:rPr>
        <w:t>9</w:t>
      </w:r>
      <w:r w:rsidR="00F07BA6">
        <w:rPr>
          <w:rFonts w:ascii="Verdana" w:hAnsi="Verdana"/>
          <w:sz w:val="20"/>
          <w:szCs w:val="20"/>
          <w:lang w:val="en-GB"/>
        </w:rPr>
        <w:fldChar w:fldCharType="end"/>
      </w:r>
      <w:r w:rsidR="00D95FB5">
        <w:rPr>
          <w:rFonts w:ascii="Verdana" w:hAnsi="Verdana"/>
          <w:sz w:val="20"/>
          <w:szCs w:val="20"/>
          <w:lang w:val="en-GB"/>
        </w:rPr>
        <w:t xml:space="preserve"> </w:t>
      </w:r>
      <w:r w:rsidR="00551225">
        <w:rPr>
          <w:rFonts w:ascii="Verdana" w:hAnsi="Verdana"/>
          <w:sz w:val="20"/>
          <w:szCs w:val="20"/>
          <w:lang w:val="en-GB"/>
        </w:rPr>
        <w:t xml:space="preserve">have been </w:t>
      </w:r>
      <w:r w:rsidR="007E46DD">
        <w:rPr>
          <w:rFonts w:ascii="Verdana" w:hAnsi="Verdana"/>
          <w:sz w:val="20"/>
          <w:szCs w:val="20"/>
          <w:lang w:val="en-GB"/>
        </w:rPr>
        <w:t xml:space="preserve">calculated </w:t>
      </w:r>
      <w:r w:rsidR="00551225">
        <w:rPr>
          <w:rFonts w:ascii="Verdana" w:hAnsi="Verdana"/>
          <w:sz w:val="20"/>
          <w:szCs w:val="20"/>
          <w:lang w:val="en-GB"/>
        </w:rPr>
        <w:t>from</w:t>
      </w:r>
      <w:r w:rsidRPr="001B0749">
        <w:rPr>
          <w:rFonts w:ascii="Verdana" w:hAnsi="Verdana"/>
          <w:sz w:val="20"/>
          <w:szCs w:val="20"/>
          <w:lang w:val="en-GB"/>
        </w:rPr>
        <w:t xml:space="preserve"> </w:t>
      </w:r>
      <w:r w:rsidR="00AF3CB0" w:rsidRPr="001B0749">
        <w:rPr>
          <w:rFonts w:ascii="Verdana" w:hAnsi="Verdana"/>
          <w:sz w:val="20"/>
          <w:szCs w:val="20"/>
          <w:lang w:val="en-GB"/>
        </w:rPr>
        <w:t>the estimated</w:t>
      </w:r>
      <w:r w:rsidR="003C3027">
        <w:rPr>
          <w:rFonts w:ascii="Verdana" w:hAnsi="Verdana"/>
          <w:sz w:val="20"/>
          <w:szCs w:val="20"/>
          <w:lang w:val="en-GB"/>
        </w:rPr>
        <w:t xml:space="preserve"> </w:t>
      </w:r>
      <w:r w:rsidR="007E46DD">
        <w:rPr>
          <w:rFonts w:ascii="Verdana" w:hAnsi="Verdana"/>
          <w:sz w:val="20"/>
          <w:szCs w:val="20"/>
          <w:lang w:val="en-GB"/>
        </w:rPr>
        <w:t>EU tonnages</w:t>
      </w:r>
      <w:r w:rsidRPr="001B0749">
        <w:rPr>
          <w:rFonts w:ascii="Verdana" w:hAnsi="Verdana"/>
          <w:sz w:val="20"/>
          <w:szCs w:val="20"/>
          <w:lang w:val="en-GB"/>
        </w:rPr>
        <w:t xml:space="preserve"> </w:t>
      </w:r>
      <w:r w:rsidR="007E46DD">
        <w:rPr>
          <w:rFonts w:ascii="Verdana" w:hAnsi="Verdana"/>
          <w:sz w:val="20"/>
          <w:szCs w:val="20"/>
          <w:lang w:val="en-GB"/>
        </w:rPr>
        <w:t>applicable to</w:t>
      </w:r>
      <w:r w:rsidRPr="001B0749">
        <w:rPr>
          <w:rFonts w:ascii="Verdana" w:hAnsi="Verdana"/>
          <w:sz w:val="20"/>
          <w:szCs w:val="20"/>
          <w:lang w:val="en-GB"/>
        </w:rPr>
        <w:t xml:space="preserve"> </w:t>
      </w:r>
      <w:r w:rsidR="00CA65F8">
        <w:rPr>
          <w:rFonts w:ascii="Verdana" w:hAnsi="Verdana"/>
          <w:sz w:val="20"/>
          <w:szCs w:val="20"/>
          <w:lang w:val="en-GB"/>
        </w:rPr>
        <w:t xml:space="preserve">manufacturing, </w:t>
      </w:r>
      <w:r w:rsidRPr="001B0749">
        <w:rPr>
          <w:rFonts w:ascii="Verdana" w:hAnsi="Verdana"/>
          <w:sz w:val="20"/>
          <w:szCs w:val="20"/>
          <w:lang w:val="en-GB"/>
        </w:rPr>
        <w:t>formulation</w:t>
      </w:r>
      <w:r w:rsidR="00CA65F8">
        <w:rPr>
          <w:rFonts w:ascii="Verdana" w:hAnsi="Verdana"/>
          <w:sz w:val="20"/>
          <w:szCs w:val="20"/>
          <w:lang w:val="en-GB"/>
        </w:rPr>
        <w:t>,</w:t>
      </w:r>
      <w:r w:rsidRPr="001B0749">
        <w:rPr>
          <w:rFonts w:ascii="Verdana" w:hAnsi="Verdana"/>
          <w:sz w:val="20"/>
          <w:szCs w:val="20"/>
          <w:lang w:val="en-GB"/>
        </w:rPr>
        <w:t xml:space="preserve"> industrial use</w:t>
      </w:r>
      <w:r>
        <w:rPr>
          <w:rFonts w:ascii="Verdana" w:hAnsi="Verdana"/>
          <w:sz w:val="20"/>
          <w:szCs w:val="20"/>
          <w:lang w:val="en-GB"/>
        </w:rPr>
        <w:t xml:space="preserve">, </w:t>
      </w:r>
      <w:r w:rsidR="00CA65F8">
        <w:rPr>
          <w:rFonts w:ascii="Verdana" w:hAnsi="Verdana"/>
          <w:sz w:val="20"/>
          <w:szCs w:val="20"/>
          <w:lang w:val="en-GB"/>
        </w:rPr>
        <w:t>professional use and article service life</w:t>
      </w:r>
      <w:r w:rsidR="007E46DD">
        <w:rPr>
          <w:rFonts w:ascii="Verdana" w:hAnsi="Verdana"/>
          <w:sz w:val="20"/>
          <w:szCs w:val="20"/>
          <w:lang w:val="en-GB"/>
        </w:rPr>
        <w:t>, multiplied by the emission factors</w:t>
      </w:r>
      <w:r w:rsidR="00551225">
        <w:rPr>
          <w:rFonts w:ascii="Verdana" w:hAnsi="Verdana"/>
          <w:sz w:val="20"/>
          <w:szCs w:val="20"/>
          <w:lang w:val="en-GB"/>
        </w:rPr>
        <w:t xml:space="preserve"> provided in the CSR</w:t>
      </w:r>
      <w:r w:rsidR="00CA65F8">
        <w:rPr>
          <w:rFonts w:ascii="Verdana" w:hAnsi="Verdana"/>
          <w:sz w:val="20"/>
          <w:szCs w:val="20"/>
          <w:lang w:val="en-GB"/>
        </w:rPr>
        <w:t xml:space="preserve">. </w:t>
      </w:r>
      <w:r w:rsidR="00267799">
        <w:rPr>
          <w:rFonts w:ascii="Verdana" w:hAnsi="Verdana"/>
          <w:sz w:val="20"/>
          <w:szCs w:val="20"/>
          <w:lang w:val="en-GB"/>
        </w:rPr>
        <w:t xml:space="preserve">The total </w:t>
      </w:r>
      <w:r w:rsidR="00EA772F">
        <w:rPr>
          <w:rFonts w:ascii="Verdana" w:hAnsi="Verdana"/>
          <w:sz w:val="20"/>
          <w:szCs w:val="20"/>
          <w:lang w:val="en-GB"/>
        </w:rPr>
        <w:t xml:space="preserve">estimated </w:t>
      </w:r>
      <w:r w:rsidR="00267799">
        <w:rPr>
          <w:rFonts w:ascii="Verdana" w:hAnsi="Verdana"/>
          <w:sz w:val="20"/>
          <w:szCs w:val="20"/>
          <w:lang w:val="en-GB"/>
        </w:rPr>
        <w:t xml:space="preserve">release to </w:t>
      </w:r>
      <w:r w:rsidR="00A465FA">
        <w:rPr>
          <w:rFonts w:ascii="Verdana" w:hAnsi="Verdana"/>
          <w:sz w:val="20"/>
          <w:szCs w:val="20"/>
          <w:lang w:val="en-GB"/>
        </w:rPr>
        <w:t xml:space="preserve">surface </w:t>
      </w:r>
      <w:r w:rsidR="00267799">
        <w:rPr>
          <w:rFonts w:ascii="Verdana" w:hAnsi="Verdana"/>
          <w:sz w:val="20"/>
          <w:szCs w:val="20"/>
          <w:lang w:val="en-GB"/>
        </w:rPr>
        <w:t xml:space="preserve">water </w:t>
      </w:r>
      <w:r w:rsidR="00D95FB5">
        <w:rPr>
          <w:rFonts w:ascii="Verdana" w:hAnsi="Verdana"/>
          <w:sz w:val="20"/>
          <w:szCs w:val="20"/>
          <w:lang w:val="en-GB"/>
        </w:rPr>
        <w:t xml:space="preserve">in Table 10 </w:t>
      </w:r>
      <w:r w:rsidR="00267799">
        <w:rPr>
          <w:rFonts w:ascii="Verdana" w:hAnsi="Verdana"/>
          <w:sz w:val="20"/>
          <w:szCs w:val="20"/>
          <w:lang w:val="en-GB"/>
        </w:rPr>
        <w:t xml:space="preserve">was calculated by </w:t>
      </w:r>
      <w:r w:rsidR="00EA772F">
        <w:rPr>
          <w:rFonts w:ascii="Verdana" w:hAnsi="Verdana"/>
          <w:sz w:val="20"/>
          <w:szCs w:val="20"/>
          <w:lang w:val="en-GB"/>
        </w:rPr>
        <w:t>multiplying</w:t>
      </w:r>
      <w:r w:rsidR="00267799">
        <w:rPr>
          <w:rFonts w:ascii="Verdana" w:hAnsi="Verdana"/>
          <w:sz w:val="20"/>
          <w:szCs w:val="20"/>
          <w:lang w:val="en-GB"/>
        </w:rPr>
        <w:t xml:space="preserve"> the total release to wastewater (153 tonnes/year) by (1-0.971) to reflect the removal of </w:t>
      </w:r>
      <w:r w:rsidR="000578F2">
        <w:rPr>
          <w:rFonts w:ascii="Verdana" w:hAnsi="Verdana"/>
          <w:sz w:val="20"/>
          <w:szCs w:val="20"/>
          <w:lang w:val="en-GB"/>
        </w:rPr>
        <w:t>MCCPs</w:t>
      </w:r>
      <w:r w:rsidR="00607BBD">
        <w:rPr>
          <w:rFonts w:ascii="Verdana" w:hAnsi="Verdana"/>
          <w:sz w:val="20"/>
          <w:szCs w:val="20"/>
          <w:lang w:val="en-GB"/>
        </w:rPr>
        <w:t xml:space="preserve"> </w:t>
      </w:r>
      <w:r w:rsidR="00267799">
        <w:rPr>
          <w:rFonts w:ascii="Verdana" w:hAnsi="Verdana"/>
          <w:sz w:val="20"/>
          <w:szCs w:val="20"/>
          <w:lang w:val="en-GB"/>
        </w:rPr>
        <w:t>from aqueous waste streams by treatment plants. Th</w:t>
      </w:r>
      <w:r w:rsidR="00EA772F">
        <w:rPr>
          <w:rFonts w:ascii="Verdana" w:hAnsi="Verdana"/>
          <w:sz w:val="20"/>
          <w:szCs w:val="20"/>
          <w:lang w:val="en-GB"/>
        </w:rPr>
        <w:t>at</w:t>
      </w:r>
      <w:r w:rsidR="00267799">
        <w:rPr>
          <w:rFonts w:ascii="Verdana" w:hAnsi="Verdana"/>
          <w:sz w:val="20"/>
          <w:szCs w:val="20"/>
          <w:lang w:val="en-GB"/>
        </w:rPr>
        <w:t xml:space="preserve"> does </w:t>
      </w:r>
      <w:r w:rsidR="00A465FA">
        <w:rPr>
          <w:rFonts w:ascii="Verdana" w:hAnsi="Verdana"/>
          <w:sz w:val="20"/>
          <w:szCs w:val="20"/>
          <w:lang w:val="en-GB"/>
        </w:rPr>
        <w:t>imply</w:t>
      </w:r>
      <w:r w:rsidR="00267799">
        <w:rPr>
          <w:rFonts w:ascii="Verdana" w:hAnsi="Verdana"/>
          <w:sz w:val="20"/>
          <w:szCs w:val="20"/>
          <w:lang w:val="en-GB"/>
        </w:rPr>
        <w:t>, however, that approximately 1</w:t>
      </w:r>
      <w:r w:rsidR="003B1B15">
        <w:rPr>
          <w:rFonts w:ascii="Verdana" w:hAnsi="Verdana"/>
          <w:sz w:val="20"/>
          <w:szCs w:val="20"/>
          <w:lang w:val="en-GB"/>
        </w:rPr>
        <w:t>49</w:t>
      </w:r>
      <w:r w:rsidR="00267799">
        <w:rPr>
          <w:rFonts w:ascii="Verdana" w:hAnsi="Verdana"/>
          <w:sz w:val="20"/>
          <w:szCs w:val="20"/>
          <w:lang w:val="en-GB"/>
        </w:rPr>
        <w:t xml:space="preserve"> tonnes/year of </w:t>
      </w:r>
      <w:r w:rsidR="000578F2">
        <w:rPr>
          <w:rFonts w:ascii="Verdana" w:hAnsi="Verdana"/>
          <w:sz w:val="20"/>
          <w:szCs w:val="20"/>
          <w:lang w:val="en-GB"/>
        </w:rPr>
        <w:t>MCCPs</w:t>
      </w:r>
      <w:r w:rsidR="00607BBD">
        <w:rPr>
          <w:rFonts w:ascii="Verdana" w:hAnsi="Verdana"/>
          <w:sz w:val="20"/>
          <w:szCs w:val="20"/>
          <w:lang w:val="en-GB"/>
        </w:rPr>
        <w:t xml:space="preserve"> </w:t>
      </w:r>
      <w:r w:rsidR="00267799">
        <w:rPr>
          <w:rFonts w:ascii="Verdana" w:hAnsi="Verdana"/>
          <w:sz w:val="20"/>
          <w:szCs w:val="20"/>
          <w:lang w:val="en-GB"/>
        </w:rPr>
        <w:t xml:space="preserve">are diverted to </w:t>
      </w:r>
      <w:proofErr w:type="spellStart"/>
      <w:r w:rsidR="00267799">
        <w:rPr>
          <w:rFonts w:ascii="Verdana" w:hAnsi="Verdana"/>
          <w:sz w:val="20"/>
          <w:szCs w:val="20"/>
          <w:lang w:val="en-GB"/>
        </w:rPr>
        <w:t>sludges</w:t>
      </w:r>
      <w:proofErr w:type="spellEnd"/>
      <w:r w:rsidR="00267799">
        <w:rPr>
          <w:rFonts w:ascii="Verdana" w:hAnsi="Verdana"/>
          <w:sz w:val="20"/>
          <w:szCs w:val="20"/>
          <w:lang w:val="en-GB"/>
        </w:rPr>
        <w:t xml:space="preserve"> for which the environmental fate has not been assessed (via landfill, agricultural use or incineration).  </w:t>
      </w:r>
      <w:r w:rsidR="00420F7E">
        <w:rPr>
          <w:rFonts w:ascii="Verdana" w:hAnsi="Verdana"/>
          <w:sz w:val="20"/>
          <w:szCs w:val="20"/>
          <w:lang w:val="en-GB"/>
        </w:rPr>
        <w:t>Overall, a comparison with infor</w:t>
      </w:r>
      <w:r w:rsidR="00B23AD0">
        <w:rPr>
          <w:rFonts w:ascii="Verdana" w:hAnsi="Verdana"/>
          <w:sz w:val="20"/>
          <w:szCs w:val="20"/>
          <w:lang w:val="en-GB"/>
        </w:rPr>
        <w:t>mation</w:t>
      </w:r>
      <w:r w:rsidR="00420F7E">
        <w:rPr>
          <w:rFonts w:ascii="Verdana" w:hAnsi="Verdana"/>
          <w:sz w:val="20"/>
          <w:szCs w:val="20"/>
          <w:lang w:val="en-GB"/>
        </w:rPr>
        <w:t xml:space="preserve"> presented in the transitional dossier indicates a ten-fold reduction in estimated emissions to the environment, from approximately 3</w:t>
      </w:r>
      <w:r w:rsidR="008A1D0E">
        <w:rPr>
          <w:rFonts w:ascii="Verdana" w:hAnsi="Verdana"/>
          <w:sz w:val="20"/>
          <w:szCs w:val="20"/>
          <w:lang w:val="en-GB"/>
        </w:rPr>
        <w:t>,</w:t>
      </w:r>
      <w:r w:rsidR="00420F7E">
        <w:rPr>
          <w:rFonts w:ascii="Verdana" w:hAnsi="Verdana"/>
          <w:sz w:val="20"/>
          <w:szCs w:val="20"/>
          <w:lang w:val="en-GB"/>
        </w:rPr>
        <w:t>000 tonnes/</w:t>
      </w:r>
      <w:r w:rsidR="00B23AD0">
        <w:rPr>
          <w:rFonts w:ascii="Verdana" w:hAnsi="Verdana"/>
          <w:sz w:val="20"/>
          <w:szCs w:val="20"/>
          <w:lang w:val="en-GB"/>
        </w:rPr>
        <w:t>year to approximately 300 tonnes/year</w:t>
      </w:r>
      <w:r w:rsidR="00420F7E">
        <w:rPr>
          <w:rFonts w:ascii="Verdana" w:hAnsi="Verdana"/>
          <w:sz w:val="20"/>
          <w:szCs w:val="20"/>
          <w:lang w:val="en-GB"/>
        </w:rPr>
        <w:t>.</w:t>
      </w:r>
      <w:r w:rsidR="007E46DD">
        <w:rPr>
          <w:rFonts w:ascii="Verdana" w:hAnsi="Verdana"/>
          <w:sz w:val="20"/>
          <w:szCs w:val="20"/>
          <w:lang w:val="en-GB"/>
        </w:rPr>
        <w:t xml:space="preserve"> This reflects a reduction in the value of emission factors rather than a substantial reduction in tonnage used. </w:t>
      </w:r>
    </w:p>
    <w:p w14:paraId="62EF8DC7" w14:textId="77777777" w:rsidR="00533DBE" w:rsidRDefault="00533DBE" w:rsidP="00533DBE">
      <w:pPr>
        <w:pStyle w:val="BodyText"/>
      </w:pPr>
    </w:p>
    <w:p w14:paraId="1D2B90B5" w14:textId="779A3045" w:rsidR="00D95FB5" w:rsidRPr="00861D95" w:rsidRDefault="00F07BA6" w:rsidP="00861D95">
      <w:pPr>
        <w:pStyle w:val="Caption"/>
        <w:rPr>
          <w:rFonts w:ascii="Verdana" w:hAnsi="Verdana"/>
          <w:b/>
          <w:sz w:val="20"/>
        </w:rPr>
      </w:pPr>
      <w:bookmarkStart w:id="29" w:name="_Ref23865173"/>
      <w:r w:rsidRPr="00F07BA6">
        <w:rPr>
          <w:rFonts w:ascii="Verdana" w:hAnsi="Verdana"/>
          <w:b/>
          <w:sz w:val="20"/>
        </w:rPr>
        <w:t xml:space="preserve">Table </w:t>
      </w:r>
      <w:r w:rsidRPr="00F07BA6">
        <w:rPr>
          <w:rFonts w:ascii="Verdana" w:hAnsi="Verdana"/>
          <w:b/>
          <w:sz w:val="20"/>
        </w:rPr>
        <w:fldChar w:fldCharType="begin"/>
      </w:r>
      <w:r w:rsidRPr="00F07BA6">
        <w:rPr>
          <w:rFonts w:ascii="Verdana" w:hAnsi="Verdana"/>
          <w:b/>
          <w:sz w:val="20"/>
        </w:rPr>
        <w:instrText xml:space="preserve"> SEQ Table \* ARABIC </w:instrText>
      </w:r>
      <w:r w:rsidRPr="00F07BA6">
        <w:rPr>
          <w:rFonts w:ascii="Verdana" w:hAnsi="Verdana"/>
          <w:b/>
          <w:sz w:val="20"/>
        </w:rPr>
        <w:fldChar w:fldCharType="separate"/>
      </w:r>
      <w:r w:rsidR="005C355A">
        <w:rPr>
          <w:rFonts w:ascii="Verdana" w:hAnsi="Verdana"/>
          <w:b/>
          <w:noProof/>
          <w:sz w:val="20"/>
        </w:rPr>
        <w:t>8</w:t>
      </w:r>
      <w:r w:rsidRPr="00F07BA6">
        <w:rPr>
          <w:rFonts w:ascii="Verdana" w:hAnsi="Verdana"/>
          <w:b/>
          <w:sz w:val="20"/>
        </w:rPr>
        <w:fldChar w:fldCharType="end"/>
      </w:r>
      <w:bookmarkEnd w:id="29"/>
      <w:r w:rsidR="00D95FB5" w:rsidRPr="001B0749">
        <w:rPr>
          <w:rFonts w:ascii="Verdana" w:hAnsi="Verdana"/>
          <w:b/>
          <w:sz w:val="20"/>
        </w:rPr>
        <w:t xml:space="preserve">: </w:t>
      </w:r>
      <w:r w:rsidR="00D95FB5">
        <w:rPr>
          <w:rFonts w:ascii="Verdana" w:hAnsi="Verdana"/>
          <w:b/>
          <w:sz w:val="20"/>
        </w:rPr>
        <w:t>Estimated t</w:t>
      </w:r>
      <w:r w:rsidR="00D95FB5" w:rsidRPr="001B0749">
        <w:rPr>
          <w:rFonts w:ascii="Verdana" w:hAnsi="Verdana"/>
          <w:b/>
          <w:sz w:val="20"/>
        </w:rPr>
        <w:t xml:space="preserve">otal releases of </w:t>
      </w:r>
      <w:r w:rsidR="000578F2">
        <w:rPr>
          <w:rFonts w:ascii="Verdana" w:hAnsi="Verdana"/>
          <w:b/>
          <w:sz w:val="20"/>
        </w:rPr>
        <w:t>MCCPs</w:t>
      </w:r>
      <w:r w:rsidR="00D95FB5">
        <w:rPr>
          <w:rFonts w:ascii="Verdana" w:hAnsi="Verdana"/>
          <w:b/>
          <w:sz w:val="20"/>
        </w:rPr>
        <w:t xml:space="preserve"> </w:t>
      </w:r>
      <w:r w:rsidR="00D95FB5" w:rsidRPr="001B0749">
        <w:rPr>
          <w:rFonts w:ascii="Verdana" w:hAnsi="Verdana"/>
          <w:b/>
          <w:sz w:val="20"/>
        </w:rPr>
        <w:t xml:space="preserve">to the environment per year </w:t>
      </w:r>
      <w:r w:rsidR="00D95FB5">
        <w:rPr>
          <w:rFonts w:ascii="Verdana" w:hAnsi="Verdana"/>
          <w:b/>
          <w:sz w:val="20"/>
        </w:rPr>
        <w:t>by use (</w:t>
      </w:r>
      <w:r w:rsidR="00D95FB5" w:rsidRPr="001B0749">
        <w:rPr>
          <w:rFonts w:ascii="Verdana" w:hAnsi="Verdana"/>
          <w:b/>
          <w:sz w:val="20"/>
        </w:rPr>
        <w:t>from all lifecycle stages</w:t>
      </w:r>
      <w:r w:rsidR="00D95FB5">
        <w:rPr>
          <w:rFonts w:ascii="Verdana" w:hAnsi="Verdana"/>
          <w:b/>
          <w:sz w:val="20"/>
        </w:rPr>
        <w:t xml:space="preserve"> except waste, such as </w:t>
      </w:r>
      <w:proofErr w:type="spellStart"/>
      <w:r w:rsidR="00D95FB5">
        <w:rPr>
          <w:rFonts w:ascii="Verdana" w:hAnsi="Verdana"/>
          <w:b/>
          <w:sz w:val="20"/>
        </w:rPr>
        <w:t>sludges</w:t>
      </w:r>
      <w:proofErr w:type="spellEnd"/>
      <w:r w:rsidR="00D95FB5">
        <w:rPr>
          <w:rFonts w:ascii="Verdana" w:hAnsi="Verdana"/>
          <w:b/>
          <w:sz w:val="20"/>
        </w:rPr>
        <w:t>)</w:t>
      </w:r>
    </w:p>
    <w:tbl>
      <w:tblPr>
        <w:tblStyle w:val="TableProfessional"/>
        <w:tblW w:w="8222" w:type="dxa"/>
        <w:tblInd w:w="134" w:type="dxa"/>
        <w:tblLook w:val="04A0" w:firstRow="1" w:lastRow="0" w:firstColumn="1" w:lastColumn="0" w:noHBand="0" w:noVBand="1"/>
      </w:tblPr>
      <w:tblGrid>
        <w:gridCol w:w="5670"/>
        <w:gridCol w:w="2552"/>
      </w:tblGrid>
      <w:tr w:rsidR="00D95FB5" w:rsidRPr="001B0749" w14:paraId="009E41CC" w14:textId="77777777" w:rsidTr="00861D95">
        <w:trPr>
          <w:cnfStyle w:val="100000000000" w:firstRow="1" w:lastRow="0" w:firstColumn="0" w:lastColumn="0" w:oddVBand="0" w:evenVBand="0" w:oddHBand="0" w:evenHBand="0" w:firstRowFirstColumn="0" w:firstRowLastColumn="0" w:lastRowFirstColumn="0" w:lastRowLastColumn="0"/>
          <w:trHeight w:val="304"/>
        </w:trPr>
        <w:tc>
          <w:tcPr>
            <w:tcW w:w="5670" w:type="dxa"/>
          </w:tcPr>
          <w:p w14:paraId="63363535" w14:textId="03559723" w:rsidR="00D95FB5" w:rsidRPr="001B0749" w:rsidRDefault="00D95FB5" w:rsidP="00583667">
            <w:pPr>
              <w:spacing w:after="0" w:line="276" w:lineRule="auto"/>
              <w:jc w:val="center"/>
              <w:rPr>
                <w:rFonts w:ascii="Verdana" w:hAnsi="Verdana"/>
                <w:sz w:val="20"/>
                <w:szCs w:val="20"/>
                <w:lang w:val="en-GB"/>
              </w:rPr>
            </w:pPr>
            <w:r>
              <w:rPr>
                <w:rFonts w:ascii="Verdana" w:hAnsi="Verdana"/>
                <w:sz w:val="20"/>
                <w:szCs w:val="20"/>
                <w:lang w:val="en-GB"/>
              </w:rPr>
              <w:t>Use</w:t>
            </w:r>
          </w:p>
        </w:tc>
        <w:tc>
          <w:tcPr>
            <w:tcW w:w="2552" w:type="dxa"/>
          </w:tcPr>
          <w:p w14:paraId="31A4214D" w14:textId="77777777" w:rsidR="00D95FB5" w:rsidRPr="001B0749" w:rsidRDefault="00D95FB5" w:rsidP="00583667">
            <w:pPr>
              <w:spacing w:after="0" w:line="276" w:lineRule="auto"/>
              <w:jc w:val="center"/>
              <w:rPr>
                <w:rFonts w:ascii="Verdana" w:hAnsi="Verdana"/>
                <w:sz w:val="20"/>
                <w:szCs w:val="20"/>
                <w:lang w:val="en-GB"/>
              </w:rPr>
            </w:pPr>
            <w:r w:rsidRPr="001B0749">
              <w:rPr>
                <w:rFonts w:ascii="Verdana" w:hAnsi="Verdana"/>
                <w:sz w:val="20"/>
                <w:szCs w:val="20"/>
                <w:lang w:val="en-GB"/>
              </w:rPr>
              <w:t>Total releases per year (tonnes)</w:t>
            </w:r>
          </w:p>
        </w:tc>
      </w:tr>
      <w:tr w:rsidR="009E5B64" w:rsidRPr="001B0749" w14:paraId="4AEDF72E" w14:textId="77777777" w:rsidTr="00861D95">
        <w:trPr>
          <w:trHeight w:val="288"/>
        </w:trPr>
        <w:tc>
          <w:tcPr>
            <w:tcW w:w="5670" w:type="dxa"/>
          </w:tcPr>
          <w:p w14:paraId="524ED2C6" w14:textId="64AEC34B" w:rsidR="009E5B64" w:rsidRPr="001B0749" w:rsidRDefault="000578F2" w:rsidP="00861D95">
            <w:pPr>
              <w:spacing w:after="0" w:line="276" w:lineRule="auto"/>
              <w:rPr>
                <w:rFonts w:ascii="Verdana" w:hAnsi="Verdana"/>
                <w:sz w:val="20"/>
                <w:szCs w:val="20"/>
                <w:lang w:val="en-GB"/>
              </w:rPr>
            </w:pPr>
            <w:r>
              <w:rPr>
                <w:rFonts w:ascii="Verdana" w:hAnsi="Verdana"/>
                <w:sz w:val="20"/>
                <w:szCs w:val="20"/>
                <w:lang w:val="en-GB"/>
              </w:rPr>
              <w:t>MCCPs</w:t>
            </w:r>
            <w:r w:rsidR="009E5B64">
              <w:rPr>
                <w:rFonts w:ascii="Verdana" w:hAnsi="Verdana"/>
                <w:sz w:val="20"/>
                <w:szCs w:val="20"/>
                <w:lang w:val="en-GB"/>
              </w:rPr>
              <w:t xml:space="preserve"> manufacture</w:t>
            </w:r>
          </w:p>
        </w:tc>
        <w:tc>
          <w:tcPr>
            <w:tcW w:w="2552" w:type="dxa"/>
          </w:tcPr>
          <w:p w14:paraId="34F8E174" w14:textId="495E6703" w:rsidR="009E5B64" w:rsidRPr="00CB7C56" w:rsidRDefault="00375F4D"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0</w:t>
            </w:r>
          </w:p>
        </w:tc>
      </w:tr>
      <w:tr w:rsidR="009E5B64" w:rsidRPr="001B0749" w14:paraId="6310ABA2" w14:textId="77777777" w:rsidTr="00861D95">
        <w:trPr>
          <w:trHeight w:val="288"/>
        </w:trPr>
        <w:tc>
          <w:tcPr>
            <w:tcW w:w="5670" w:type="dxa"/>
          </w:tcPr>
          <w:p w14:paraId="263089F6" w14:textId="77616A43" w:rsidR="009E5B64" w:rsidRPr="001B0749" w:rsidRDefault="009E5B64" w:rsidP="00861D95">
            <w:pPr>
              <w:spacing w:after="0" w:line="276" w:lineRule="auto"/>
              <w:rPr>
                <w:rFonts w:ascii="Verdana" w:hAnsi="Verdana"/>
                <w:sz w:val="20"/>
                <w:szCs w:val="20"/>
                <w:lang w:val="en-GB"/>
              </w:rPr>
            </w:pPr>
            <w:r>
              <w:rPr>
                <w:rFonts w:ascii="Verdana" w:hAnsi="Verdana"/>
                <w:sz w:val="20"/>
                <w:szCs w:val="20"/>
                <w:lang w:val="en-GB"/>
              </w:rPr>
              <w:t xml:space="preserve">PVC and rubber (formulation, </w:t>
            </w:r>
            <w:r w:rsidR="00AF3CB0">
              <w:rPr>
                <w:rFonts w:ascii="Verdana" w:hAnsi="Verdana"/>
                <w:sz w:val="20"/>
                <w:szCs w:val="20"/>
                <w:lang w:val="en-GB"/>
              </w:rPr>
              <w:t>conversion</w:t>
            </w:r>
            <w:r>
              <w:rPr>
                <w:rFonts w:ascii="Verdana" w:hAnsi="Verdana"/>
                <w:sz w:val="20"/>
                <w:szCs w:val="20"/>
                <w:lang w:val="en-GB"/>
              </w:rPr>
              <w:t>, service life)</w:t>
            </w:r>
          </w:p>
        </w:tc>
        <w:tc>
          <w:tcPr>
            <w:tcW w:w="2552" w:type="dxa"/>
          </w:tcPr>
          <w:p w14:paraId="2F296B93" w14:textId="54C4A517" w:rsidR="009E5B64" w:rsidRPr="00CB7C56" w:rsidRDefault="009E5B64"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41</w:t>
            </w:r>
          </w:p>
        </w:tc>
      </w:tr>
      <w:tr w:rsidR="009E5B64" w:rsidRPr="001B0749" w14:paraId="417B4B69" w14:textId="77777777" w:rsidTr="00861D95">
        <w:trPr>
          <w:trHeight w:val="288"/>
        </w:trPr>
        <w:tc>
          <w:tcPr>
            <w:tcW w:w="5670" w:type="dxa"/>
          </w:tcPr>
          <w:p w14:paraId="67C351A9" w14:textId="79D9B4C2" w:rsidR="009E5B64" w:rsidRPr="001B0749" w:rsidRDefault="009E5B64" w:rsidP="00861D95">
            <w:pPr>
              <w:spacing w:after="0" w:line="276" w:lineRule="auto"/>
              <w:rPr>
                <w:rFonts w:ascii="Verdana" w:hAnsi="Verdana"/>
                <w:sz w:val="20"/>
                <w:szCs w:val="20"/>
                <w:lang w:val="en-GB"/>
              </w:rPr>
            </w:pPr>
            <w:r>
              <w:rPr>
                <w:rFonts w:ascii="Verdana" w:hAnsi="Verdana"/>
                <w:sz w:val="20"/>
                <w:szCs w:val="20"/>
                <w:lang w:val="en-GB"/>
              </w:rPr>
              <w:t>Adhesives/sealants (formulation, use, service life)</w:t>
            </w:r>
          </w:p>
        </w:tc>
        <w:tc>
          <w:tcPr>
            <w:tcW w:w="2552" w:type="dxa"/>
          </w:tcPr>
          <w:p w14:paraId="4B20B98E" w14:textId="16FE5314" w:rsidR="009E5B64" w:rsidRPr="00CB7C56" w:rsidRDefault="009E5B64"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126</w:t>
            </w:r>
          </w:p>
        </w:tc>
      </w:tr>
      <w:tr w:rsidR="009E5B64" w:rsidRPr="001B0749" w14:paraId="686098AA" w14:textId="77777777" w:rsidTr="00861D95">
        <w:trPr>
          <w:trHeight w:val="288"/>
        </w:trPr>
        <w:tc>
          <w:tcPr>
            <w:tcW w:w="5670" w:type="dxa"/>
          </w:tcPr>
          <w:p w14:paraId="6C2005EC" w14:textId="6F401F67" w:rsidR="009E5B64" w:rsidRPr="001B0749" w:rsidRDefault="009E5B64" w:rsidP="00861D95">
            <w:pPr>
              <w:spacing w:after="0" w:line="276" w:lineRule="auto"/>
              <w:rPr>
                <w:rFonts w:ascii="Verdana" w:hAnsi="Verdana"/>
                <w:sz w:val="20"/>
                <w:szCs w:val="20"/>
                <w:lang w:val="en-GB"/>
              </w:rPr>
            </w:pPr>
            <w:r>
              <w:rPr>
                <w:rFonts w:ascii="Verdana" w:hAnsi="Verdana"/>
                <w:sz w:val="20"/>
                <w:szCs w:val="20"/>
                <w:lang w:val="en-GB"/>
              </w:rPr>
              <w:t>Metalworking fluids (formulation and use)</w:t>
            </w:r>
          </w:p>
        </w:tc>
        <w:tc>
          <w:tcPr>
            <w:tcW w:w="2552" w:type="dxa"/>
          </w:tcPr>
          <w:p w14:paraId="23900D72" w14:textId="2F30FB1C" w:rsidR="009E5B64" w:rsidRPr="00CB7C56" w:rsidRDefault="00375F4D"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100</w:t>
            </w:r>
          </w:p>
        </w:tc>
      </w:tr>
      <w:tr w:rsidR="009E5B64" w:rsidRPr="001B0749" w14:paraId="047F18B8" w14:textId="77777777" w:rsidTr="00861D95">
        <w:trPr>
          <w:trHeight w:val="288"/>
        </w:trPr>
        <w:tc>
          <w:tcPr>
            <w:tcW w:w="5670" w:type="dxa"/>
          </w:tcPr>
          <w:p w14:paraId="6F1522B1" w14:textId="0A01B52C" w:rsidR="009E5B64" w:rsidRPr="001B0749" w:rsidRDefault="009E5B64" w:rsidP="00861D95">
            <w:pPr>
              <w:spacing w:after="0" w:line="276" w:lineRule="auto"/>
              <w:rPr>
                <w:rFonts w:ascii="Verdana" w:hAnsi="Verdana"/>
                <w:sz w:val="20"/>
                <w:szCs w:val="20"/>
                <w:lang w:val="en-GB"/>
              </w:rPr>
            </w:pPr>
            <w:r>
              <w:rPr>
                <w:rFonts w:ascii="Verdana" w:hAnsi="Verdana"/>
                <w:sz w:val="20"/>
                <w:szCs w:val="20"/>
                <w:lang w:val="en-GB"/>
              </w:rPr>
              <w:t>Textiles (formulation and service life)</w:t>
            </w:r>
          </w:p>
        </w:tc>
        <w:tc>
          <w:tcPr>
            <w:tcW w:w="2552" w:type="dxa"/>
          </w:tcPr>
          <w:p w14:paraId="18E0D604" w14:textId="662308EC" w:rsidR="009E5B64" w:rsidRPr="00CB7C56" w:rsidRDefault="009E5B64"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1</w:t>
            </w:r>
            <w:r w:rsidR="00375F4D" w:rsidRPr="00D35A5A">
              <w:rPr>
                <w:rFonts w:ascii="Verdana" w:hAnsi="Verdana"/>
                <w:sz w:val="20"/>
              </w:rPr>
              <w:t>3</w:t>
            </w:r>
          </w:p>
        </w:tc>
      </w:tr>
      <w:tr w:rsidR="009E5B64" w:rsidRPr="001B0749" w14:paraId="3843F220" w14:textId="77777777" w:rsidTr="00861D95">
        <w:trPr>
          <w:trHeight w:val="288"/>
        </w:trPr>
        <w:tc>
          <w:tcPr>
            <w:tcW w:w="5670" w:type="dxa"/>
          </w:tcPr>
          <w:p w14:paraId="3636078F" w14:textId="7E900B1C" w:rsidR="009E5B64" w:rsidRPr="001B0749" w:rsidRDefault="009E5B64" w:rsidP="00861D95">
            <w:pPr>
              <w:spacing w:after="0" w:line="276" w:lineRule="auto"/>
              <w:rPr>
                <w:rFonts w:ascii="Verdana" w:hAnsi="Verdana"/>
                <w:sz w:val="20"/>
                <w:szCs w:val="20"/>
                <w:lang w:val="en-GB"/>
              </w:rPr>
            </w:pPr>
            <w:r>
              <w:rPr>
                <w:rFonts w:ascii="Verdana" w:hAnsi="Verdana"/>
                <w:sz w:val="20"/>
                <w:szCs w:val="20"/>
                <w:lang w:val="en-GB"/>
              </w:rPr>
              <w:t>Paints/coatings (formulation, use, service life)</w:t>
            </w:r>
          </w:p>
        </w:tc>
        <w:tc>
          <w:tcPr>
            <w:tcW w:w="2552" w:type="dxa"/>
          </w:tcPr>
          <w:p w14:paraId="51CCC8E6" w14:textId="4E0608D4" w:rsidR="009E5B64" w:rsidRPr="00CB7C56" w:rsidRDefault="00375F4D"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10</w:t>
            </w:r>
          </w:p>
        </w:tc>
      </w:tr>
      <w:tr w:rsidR="009E5B64" w:rsidRPr="001B0749" w14:paraId="18598975" w14:textId="77777777" w:rsidTr="00861D95">
        <w:trPr>
          <w:trHeight w:val="288"/>
        </w:trPr>
        <w:tc>
          <w:tcPr>
            <w:tcW w:w="5670" w:type="dxa"/>
          </w:tcPr>
          <w:p w14:paraId="14AC9EE8" w14:textId="77071EDD" w:rsidR="009E5B64" w:rsidRPr="001B0749" w:rsidRDefault="009E5B64" w:rsidP="00861D95">
            <w:pPr>
              <w:spacing w:after="0" w:line="276" w:lineRule="auto"/>
              <w:rPr>
                <w:rFonts w:ascii="Verdana" w:hAnsi="Verdana"/>
                <w:sz w:val="20"/>
                <w:szCs w:val="20"/>
                <w:lang w:val="en-GB"/>
              </w:rPr>
            </w:pPr>
            <w:r>
              <w:rPr>
                <w:rFonts w:ascii="Verdana" w:hAnsi="Verdana"/>
                <w:sz w:val="20"/>
                <w:szCs w:val="20"/>
                <w:lang w:val="en-GB"/>
              </w:rPr>
              <w:t>Paper manufacturing/recycling</w:t>
            </w:r>
          </w:p>
        </w:tc>
        <w:tc>
          <w:tcPr>
            <w:tcW w:w="2552" w:type="dxa"/>
          </w:tcPr>
          <w:p w14:paraId="3D58F270" w14:textId="62D3475C" w:rsidR="009E5B64" w:rsidRPr="00CB7C56" w:rsidRDefault="009E5B64" w:rsidP="00861D95">
            <w:pPr>
              <w:tabs>
                <w:tab w:val="decimal" w:pos="1310"/>
              </w:tabs>
              <w:spacing w:after="0" w:line="276" w:lineRule="auto"/>
              <w:jc w:val="both"/>
              <w:rPr>
                <w:rFonts w:ascii="Verdana" w:hAnsi="Verdana"/>
                <w:sz w:val="20"/>
                <w:szCs w:val="20"/>
                <w:lang w:val="en-GB"/>
              </w:rPr>
            </w:pPr>
            <w:r w:rsidRPr="00D35A5A">
              <w:rPr>
                <w:rFonts w:ascii="Verdana" w:hAnsi="Verdana"/>
                <w:sz w:val="20"/>
              </w:rPr>
              <w:t>15</w:t>
            </w:r>
          </w:p>
        </w:tc>
      </w:tr>
      <w:tr w:rsidR="009E5B64" w:rsidRPr="00CB7C56" w14:paraId="5DD77AD2" w14:textId="77777777" w:rsidTr="00861D95">
        <w:trPr>
          <w:trHeight w:val="288"/>
        </w:trPr>
        <w:tc>
          <w:tcPr>
            <w:tcW w:w="5670" w:type="dxa"/>
          </w:tcPr>
          <w:p w14:paraId="65C299EC" w14:textId="4E6B8847" w:rsidR="009E5B64" w:rsidRPr="00D35A5A" w:rsidRDefault="00375F4D" w:rsidP="00861D95">
            <w:pPr>
              <w:spacing w:after="0" w:line="276" w:lineRule="auto"/>
              <w:rPr>
                <w:rFonts w:ascii="Verdana" w:hAnsi="Verdana"/>
                <w:b/>
                <w:sz w:val="20"/>
                <w:szCs w:val="20"/>
                <w:lang w:val="en-GB"/>
              </w:rPr>
            </w:pPr>
            <w:r w:rsidRPr="00D35A5A">
              <w:rPr>
                <w:rFonts w:ascii="Verdana" w:hAnsi="Verdana"/>
                <w:b/>
                <w:sz w:val="20"/>
                <w:szCs w:val="20"/>
                <w:lang w:val="en-GB"/>
              </w:rPr>
              <w:t>TOTAL</w:t>
            </w:r>
          </w:p>
        </w:tc>
        <w:tc>
          <w:tcPr>
            <w:tcW w:w="2552" w:type="dxa"/>
          </w:tcPr>
          <w:p w14:paraId="7597DBC8" w14:textId="7FB96DB7" w:rsidR="009E5B64" w:rsidRPr="00D35A5A" w:rsidRDefault="009E5B64" w:rsidP="00861D95">
            <w:pPr>
              <w:tabs>
                <w:tab w:val="decimal" w:pos="1310"/>
              </w:tabs>
              <w:spacing w:after="0" w:line="276" w:lineRule="auto"/>
              <w:jc w:val="both"/>
              <w:rPr>
                <w:rFonts w:ascii="Verdana" w:hAnsi="Verdana"/>
                <w:b/>
                <w:sz w:val="20"/>
                <w:szCs w:val="20"/>
                <w:lang w:val="en-GB"/>
              </w:rPr>
            </w:pPr>
            <w:r w:rsidRPr="00D35A5A">
              <w:rPr>
                <w:rFonts w:ascii="Verdana" w:hAnsi="Verdana"/>
                <w:b/>
                <w:sz w:val="20"/>
              </w:rPr>
              <w:t>30</w:t>
            </w:r>
            <w:r w:rsidR="00375F4D" w:rsidRPr="00D35A5A">
              <w:rPr>
                <w:rFonts w:ascii="Verdana" w:hAnsi="Verdana"/>
                <w:b/>
                <w:sz w:val="20"/>
              </w:rPr>
              <w:t>5</w:t>
            </w:r>
          </w:p>
        </w:tc>
      </w:tr>
    </w:tbl>
    <w:p w14:paraId="05122913" w14:textId="77777777" w:rsidR="00D95FB5" w:rsidRDefault="00D95FB5" w:rsidP="00533DBE">
      <w:pPr>
        <w:pStyle w:val="BodyText"/>
      </w:pPr>
    </w:p>
    <w:p w14:paraId="5ABE82E1" w14:textId="61204D3B" w:rsidR="00533DBE" w:rsidRPr="001B0749" w:rsidRDefault="00F07BA6" w:rsidP="00F07BA6">
      <w:pPr>
        <w:pStyle w:val="Caption"/>
        <w:rPr>
          <w:rFonts w:ascii="Verdana" w:hAnsi="Verdana"/>
          <w:b/>
          <w:sz w:val="20"/>
        </w:rPr>
      </w:pPr>
      <w:bookmarkStart w:id="30" w:name="_Ref23865183"/>
      <w:r w:rsidRPr="00F07BA6">
        <w:rPr>
          <w:rFonts w:ascii="Verdana" w:hAnsi="Verdana"/>
          <w:b/>
          <w:sz w:val="20"/>
        </w:rPr>
        <w:t xml:space="preserve">Table </w:t>
      </w:r>
      <w:r w:rsidRPr="00F07BA6">
        <w:rPr>
          <w:rFonts w:ascii="Verdana" w:hAnsi="Verdana"/>
          <w:b/>
          <w:sz w:val="20"/>
        </w:rPr>
        <w:fldChar w:fldCharType="begin"/>
      </w:r>
      <w:r w:rsidRPr="00F07BA6">
        <w:rPr>
          <w:rFonts w:ascii="Verdana" w:hAnsi="Verdana"/>
          <w:b/>
          <w:sz w:val="20"/>
        </w:rPr>
        <w:instrText xml:space="preserve"> SEQ Table \* ARABIC </w:instrText>
      </w:r>
      <w:r w:rsidRPr="00F07BA6">
        <w:rPr>
          <w:rFonts w:ascii="Verdana" w:hAnsi="Verdana"/>
          <w:b/>
          <w:sz w:val="20"/>
        </w:rPr>
        <w:fldChar w:fldCharType="separate"/>
      </w:r>
      <w:r w:rsidR="005C355A">
        <w:rPr>
          <w:rFonts w:ascii="Verdana" w:hAnsi="Verdana"/>
          <w:b/>
          <w:noProof/>
          <w:sz w:val="20"/>
        </w:rPr>
        <w:t>9</w:t>
      </w:r>
      <w:r w:rsidRPr="00F07BA6">
        <w:rPr>
          <w:rFonts w:ascii="Verdana" w:hAnsi="Verdana"/>
          <w:b/>
          <w:sz w:val="20"/>
        </w:rPr>
        <w:fldChar w:fldCharType="end"/>
      </w:r>
      <w:bookmarkEnd w:id="30"/>
      <w:r w:rsidR="00533DBE" w:rsidRPr="001B0749">
        <w:rPr>
          <w:rFonts w:ascii="Verdana" w:hAnsi="Verdana"/>
          <w:b/>
          <w:sz w:val="20"/>
        </w:rPr>
        <w:t xml:space="preserve">: </w:t>
      </w:r>
      <w:r w:rsidR="00CA65F8">
        <w:rPr>
          <w:rFonts w:ascii="Verdana" w:hAnsi="Verdana"/>
          <w:b/>
          <w:sz w:val="20"/>
        </w:rPr>
        <w:t>Estimated t</w:t>
      </w:r>
      <w:r w:rsidR="00533DBE" w:rsidRPr="001B0749">
        <w:rPr>
          <w:rFonts w:ascii="Verdana" w:hAnsi="Verdana"/>
          <w:b/>
          <w:sz w:val="20"/>
        </w:rPr>
        <w:t xml:space="preserve">otal releases of </w:t>
      </w:r>
      <w:r w:rsidR="000578F2">
        <w:rPr>
          <w:rFonts w:ascii="Verdana" w:hAnsi="Verdana"/>
          <w:b/>
          <w:sz w:val="20"/>
        </w:rPr>
        <w:t>MCCPs</w:t>
      </w:r>
      <w:r w:rsidR="00607BBD">
        <w:rPr>
          <w:rFonts w:ascii="Verdana" w:hAnsi="Verdana"/>
          <w:b/>
          <w:sz w:val="20"/>
        </w:rPr>
        <w:t xml:space="preserve"> </w:t>
      </w:r>
      <w:r w:rsidR="00533DBE" w:rsidRPr="001B0749">
        <w:rPr>
          <w:rFonts w:ascii="Verdana" w:hAnsi="Verdana"/>
          <w:b/>
          <w:sz w:val="20"/>
        </w:rPr>
        <w:t>to the environment per year from all lifecycle stages</w:t>
      </w:r>
      <w:r w:rsidR="00420F7E">
        <w:rPr>
          <w:rFonts w:ascii="Verdana" w:hAnsi="Verdana"/>
          <w:b/>
          <w:sz w:val="20"/>
        </w:rPr>
        <w:t xml:space="preserve"> (except waste, such as </w:t>
      </w:r>
      <w:proofErr w:type="spellStart"/>
      <w:r w:rsidR="00420F7E">
        <w:rPr>
          <w:rFonts w:ascii="Verdana" w:hAnsi="Verdana"/>
          <w:b/>
          <w:sz w:val="20"/>
        </w:rPr>
        <w:t>sludges</w:t>
      </w:r>
      <w:proofErr w:type="spellEnd"/>
      <w:r w:rsidR="00420F7E">
        <w:rPr>
          <w:rFonts w:ascii="Verdana" w:hAnsi="Verdana"/>
          <w:b/>
          <w:sz w:val="20"/>
        </w:rPr>
        <w:t>)</w:t>
      </w:r>
    </w:p>
    <w:p w14:paraId="59AFE98C" w14:textId="77777777" w:rsidR="00533DBE" w:rsidRPr="001B0749" w:rsidRDefault="00533DBE" w:rsidP="00533DBE">
      <w:pPr>
        <w:spacing w:after="0" w:line="276" w:lineRule="auto"/>
        <w:jc w:val="both"/>
        <w:rPr>
          <w:rFonts w:ascii="Verdana" w:hAnsi="Verdana"/>
          <w:sz w:val="20"/>
          <w:szCs w:val="20"/>
          <w:lang w:val="en-GB"/>
        </w:rPr>
      </w:pPr>
    </w:p>
    <w:tbl>
      <w:tblPr>
        <w:tblStyle w:val="TableProfessional"/>
        <w:tblW w:w="0" w:type="auto"/>
        <w:tblInd w:w="751" w:type="dxa"/>
        <w:tblLook w:val="04A0" w:firstRow="1" w:lastRow="0" w:firstColumn="1" w:lastColumn="0" w:noHBand="0" w:noVBand="1"/>
      </w:tblPr>
      <w:tblGrid>
        <w:gridCol w:w="2141"/>
        <w:gridCol w:w="4188"/>
      </w:tblGrid>
      <w:tr w:rsidR="00533DBE" w:rsidRPr="001B0749" w14:paraId="4FE12699" w14:textId="77777777" w:rsidTr="000E324D">
        <w:trPr>
          <w:cnfStyle w:val="100000000000" w:firstRow="1" w:lastRow="0" w:firstColumn="0" w:lastColumn="0" w:oddVBand="0" w:evenVBand="0" w:oddHBand="0" w:evenHBand="0" w:firstRowFirstColumn="0" w:firstRowLastColumn="0" w:lastRowFirstColumn="0" w:lastRowLastColumn="0"/>
          <w:trHeight w:val="304"/>
        </w:trPr>
        <w:tc>
          <w:tcPr>
            <w:tcW w:w="2141" w:type="dxa"/>
          </w:tcPr>
          <w:p w14:paraId="4C9F8AB5" w14:textId="77777777" w:rsidR="00533DBE" w:rsidRPr="001B0749" w:rsidRDefault="00533DBE" w:rsidP="000E324D">
            <w:pPr>
              <w:spacing w:after="0" w:line="276" w:lineRule="auto"/>
              <w:jc w:val="center"/>
              <w:rPr>
                <w:rFonts w:ascii="Verdana" w:hAnsi="Verdana"/>
                <w:sz w:val="20"/>
                <w:szCs w:val="20"/>
                <w:lang w:val="en-GB"/>
              </w:rPr>
            </w:pPr>
            <w:r w:rsidRPr="001B0749">
              <w:rPr>
                <w:rFonts w:ascii="Verdana" w:hAnsi="Verdana"/>
                <w:sz w:val="20"/>
                <w:szCs w:val="20"/>
                <w:lang w:val="en-GB"/>
              </w:rPr>
              <w:t>Release route</w:t>
            </w:r>
          </w:p>
        </w:tc>
        <w:tc>
          <w:tcPr>
            <w:tcW w:w="4188" w:type="dxa"/>
          </w:tcPr>
          <w:p w14:paraId="1F991C58" w14:textId="77777777" w:rsidR="00533DBE" w:rsidRPr="001B0749" w:rsidRDefault="00533DBE" w:rsidP="000E324D">
            <w:pPr>
              <w:spacing w:after="0" w:line="276" w:lineRule="auto"/>
              <w:jc w:val="center"/>
              <w:rPr>
                <w:rFonts w:ascii="Verdana" w:hAnsi="Verdana"/>
                <w:sz w:val="20"/>
                <w:szCs w:val="20"/>
                <w:lang w:val="en-GB"/>
              </w:rPr>
            </w:pPr>
            <w:r w:rsidRPr="001B0749">
              <w:rPr>
                <w:rFonts w:ascii="Verdana" w:hAnsi="Verdana"/>
                <w:sz w:val="20"/>
                <w:szCs w:val="20"/>
                <w:lang w:val="en-GB"/>
              </w:rPr>
              <w:t>Total releases per year (tonnes)</w:t>
            </w:r>
          </w:p>
        </w:tc>
      </w:tr>
      <w:tr w:rsidR="00533DBE" w:rsidRPr="001B0749" w14:paraId="47B6677B" w14:textId="77777777" w:rsidTr="000E324D">
        <w:trPr>
          <w:trHeight w:val="288"/>
        </w:trPr>
        <w:tc>
          <w:tcPr>
            <w:tcW w:w="2141" w:type="dxa"/>
          </w:tcPr>
          <w:p w14:paraId="0B929221" w14:textId="77777777" w:rsidR="00533DBE" w:rsidRPr="001B0749" w:rsidRDefault="00533DBE" w:rsidP="000E324D">
            <w:pPr>
              <w:spacing w:after="0" w:line="276" w:lineRule="auto"/>
              <w:jc w:val="center"/>
              <w:rPr>
                <w:rFonts w:ascii="Verdana" w:hAnsi="Verdana"/>
                <w:sz w:val="20"/>
                <w:szCs w:val="20"/>
                <w:lang w:val="en-GB"/>
              </w:rPr>
            </w:pPr>
            <w:r w:rsidRPr="001B0749">
              <w:rPr>
                <w:rFonts w:ascii="Verdana" w:hAnsi="Verdana"/>
                <w:sz w:val="20"/>
                <w:szCs w:val="20"/>
                <w:lang w:val="en-GB"/>
              </w:rPr>
              <w:t>Water</w:t>
            </w:r>
          </w:p>
        </w:tc>
        <w:tc>
          <w:tcPr>
            <w:tcW w:w="4188" w:type="dxa"/>
          </w:tcPr>
          <w:p w14:paraId="10FCA79A" w14:textId="5C05F58D" w:rsidR="00533DBE" w:rsidRPr="001B0749" w:rsidRDefault="0031366A" w:rsidP="00375F4D">
            <w:pPr>
              <w:tabs>
                <w:tab w:val="decimal" w:pos="1717"/>
              </w:tabs>
              <w:spacing w:after="0" w:line="276" w:lineRule="auto"/>
              <w:jc w:val="both"/>
              <w:rPr>
                <w:rFonts w:ascii="Verdana" w:hAnsi="Verdana"/>
                <w:sz w:val="20"/>
                <w:szCs w:val="20"/>
                <w:lang w:val="en-GB"/>
              </w:rPr>
            </w:pPr>
            <w:r>
              <w:rPr>
                <w:rFonts w:ascii="Verdana" w:hAnsi="Verdana"/>
                <w:sz w:val="20"/>
                <w:szCs w:val="20"/>
                <w:lang w:val="en-GB"/>
              </w:rPr>
              <w:t>4</w:t>
            </w:r>
          </w:p>
        </w:tc>
      </w:tr>
      <w:tr w:rsidR="00533DBE" w:rsidRPr="001B0749" w14:paraId="43A01A1B" w14:textId="77777777" w:rsidTr="000E324D">
        <w:trPr>
          <w:trHeight w:val="288"/>
        </w:trPr>
        <w:tc>
          <w:tcPr>
            <w:tcW w:w="2141" w:type="dxa"/>
          </w:tcPr>
          <w:p w14:paraId="3BACBDCA" w14:textId="77777777" w:rsidR="00533DBE" w:rsidRPr="001B0749" w:rsidRDefault="00533DBE" w:rsidP="000E324D">
            <w:pPr>
              <w:spacing w:after="0" w:line="276" w:lineRule="auto"/>
              <w:jc w:val="center"/>
              <w:rPr>
                <w:rFonts w:ascii="Verdana" w:hAnsi="Verdana"/>
                <w:sz w:val="20"/>
                <w:szCs w:val="20"/>
                <w:lang w:val="en-GB"/>
              </w:rPr>
            </w:pPr>
            <w:r w:rsidRPr="001B0749">
              <w:rPr>
                <w:rFonts w:ascii="Verdana" w:hAnsi="Verdana"/>
                <w:sz w:val="20"/>
                <w:szCs w:val="20"/>
                <w:lang w:val="en-GB"/>
              </w:rPr>
              <w:t>Air</w:t>
            </w:r>
          </w:p>
        </w:tc>
        <w:tc>
          <w:tcPr>
            <w:tcW w:w="4188" w:type="dxa"/>
          </w:tcPr>
          <w:p w14:paraId="6CF9BBA2" w14:textId="38A632CB" w:rsidR="00533DBE" w:rsidRPr="001B0749" w:rsidRDefault="0031366A" w:rsidP="000E324D">
            <w:pPr>
              <w:tabs>
                <w:tab w:val="decimal" w:pos="1717"/>
              </w:tabs>
              <w:spacing w:after="0" w:line="276" w:lineRule="auto"/>
              <w:jc w:val="both"/>
              <w:rPr>
                <w:rFonts w:ascii="Verdana" w:hAnsi="Verdana"/>
                <w:sz w:val="20"/>
                <w:szCs w:val="20"/>
                <w:lang w:val="en-GB"/>
              </w:rPr>
            </w:pPr>
            <w:r>
              <w:rPr>
                <w:rFonts w:ascii="Verdana" w:hAnsi="Verdana"/>
                <w:sz w:val="20"/>
                <w:szCs w:val="20"/>
                <w:lang w:val="en-GB"/>
              </w:rPr>
              <w:t>89</w:t>
            </w:r>
          </w:p>
        </w:tc>
      </w:tr>
      <w:tr w:rsidR="00533DBE" w:rsidRPr="001B0749" w14:paraId="166F322D" w14:textId="77777777" w:rsidTr="000E324D">
        <w:trPr>
          <w:trHeight w:val="304"/>
        </w:trPr>
        <w:tc>
          <w:tcPr>
            <w:tcW w:w="2141" w:type="dxa"/>
          </w:tcPr>
          <w:p w14:paraId="70165925" w14:textId="77777777" w:rsidR="00533DBE" w:rsidRPr="001B0749" w:rsidRDefault="00533DBE" w:rsidP="000E324D">
            <w:pPr>
              <w:spacing w:after="0" w:line="276" w:lineRule="auto"/>
              <w:jc w:val="center"/>
              <w:rPr>
                <w:rFonts w:ascii="Verdana" w:hAnsi="Verdana"/>
                <w:sz w:val="20"/>
                <w:szCs w:val="20"/>
                <w:lang w:val="en-GB"/>
              </w:rPr>
            </w:pPr>
            <w:r w:rsidRPr="001B0749">
              <w:rPr>
                <w:rFonts w:ascii="Verdana" w:hAnsi="Verdana"/>
                <w:sz w:val="20"/>
                <w:szCs w:val="20"/>
                <w:lang w:val="en-GB"/>
              </w:rPr>
              <w:t>Soil</w:t>
            </w:r>
          </w:p>
        </w:tc>
        <w:tc>
          <w:tcPr>
            <w:tcW w:w="4188" w:type="dxa"/>
          </w:tcPr>
          <w:p w14:paraId="2466CA64" w14:textId="5AF75728" w:rsidR="00533DBE" w:rsidRPr="001B0749" w:rsidRDefault="0031366A" w:rsidP="000E324D">
            <w:pPr>
              <w:tabs>
                <w:tab w:val="decimal" w:pos="1717"/>
              </w:tabs>
              <w:spacing w:after="0" w:line="276" w:lineRule="auto"/>
              <w:jc w:val="both"/>
              <w:rPr>
                <w:rFonts w:ascii="Verdana" w:hAnsi="Verdana"/>
                <w:sz w:val="20"/>
                <w:szCs w:val="20"/>
                <w:lang w:val="en-GB"/>
              </w:rPr>
            </w:pPr>
            <w:r>
              <w:rPr>
                <w:rFonts w:ascii="Verdana" w:hAnsi="Verdana"/>
                <w:sz w:val="20"/>
                <w:szCs w:val="20"/>
                <w:lang w:val="en-GB"/>
              </w:rPr>
              <w:t>61</w:t>
            </w:r>
          </w:p>
        </w:tc>
      </w:tr>
    </w:tbl>
    <w:p w14:paraId="58A7DFAB" w14:textId="23AF4665" w:rsidR="0031366A" w:rsidRPr="00B2739B" w:rsidRDefault="00533DBE" w:rsidP="00533DBE">
      <w:pPr>
        <w:spacing w:after="0" w:line="276" w:lineRule="auto"/>
        <w:ind w:left="851" w:right="1224"/>
        <w:jc w:val="both"/>
        <w:rPr>
          <w:rFonts w:ascii="Verdana" w:hAnsi="Verdana"/>
          <w:sz w:val="16"/>
          <w:szCs w:val="16"/>
          <w:lang w:val="en-GB"/>
        </w:rPr>
      </w:pPr>
      <w:r>
        <w:rPr>
          <w:rFonts w:ascii="Verdana" w:hAnsi="Verdana"/>
          <w:sz w:val="16"/>
          <w:szCs w:val="16"/>
          <w:lang w:val="en-GB"/>
        </w:rPr>
        <w:t xml:space="preserve">Note: </w:t>
      </w:r>
      <w:r w:rsidR="0031366A">
        <w:rPr>
          <w:rFonts w:ascii="Verdana" w:hAnsi="Verdana"/>
          <w:sz w:val="16"/>
          <w:szCs w:val="16"/>
          <w:lang w:val="en-GB"/>
        </w:rPr>
        <w:t xml:space="preserve">Release to soil is likely to be an underestimate as it excludes inputs from </w:t>
      </w:r>
      <w:r w:rsidR="00B00F0F">
        <w:rPr>
          <w:rFonts w:ascii="Verdana" w:hAnsi="Verdana"/>
          <w:sz w:val="16"/>
          <w:szCs w:val="16"/>
          <w:lang w:val="en-GB"/>
        </w:rPr>
        <w:t xml:space="preserve">wastewater treatment </w:t>
      </w:r>
      <w:proofErr w:type="spellStart"/>
      <w:r w:rsidR="00B00F0F">
        <w:rPr>
          <w:rFonts w:ascii="Verdana" w:hAnsi="Verdana"/>
          <w:sz w:val="16"/>
          <w:szCs w:val="16"/>
          <w:lang w:val="en-GB"/>
        </w:rPr>
        <w:t>sludges</w:t>
      </w:r>
      <w:proofErr w:type="spellEnd"/>
      <w:r w:rsidR="00B00F0F">
        <w:rPr>
          <w:rFonts w:ascii="Verdana" w:hAnsi="Verdana"/>
          <w:sz w:val="16"/>
          <w:szCs w:val="16"/>
          <w:lang w:val="en-GB"/>
        </w:rPr>
        <w:t xml:space="preserve"> </w:t>
      </w:r>
      <w:r w:rsidR="007E46DD">
        <w:rPr>
          <w:rFonts w:ascii="Verdana" w:hAnsi="Verdana"/>
          <w:sz w:val="16"/>
          <w:szCs w:val="16"/>
          <w:lang w:val="en-GB"/>
        </w:rPr>
        <w:t xml:space="preserve">(149 tonnes/year) </w:t>
      </w:r>
      <w:r w:rsidR="00B00F0F">
        <w:rPr>
          <w:rFonts w:ascii="Verdana" w:hAnsi="Verdana"/>
          <w:sz w:val="16"/>
          <w:szCs w:val="16"/>
          <w:lang w:val="en-GB"/>
        </w:rPr>
        <w:t xml:space="preserve">and </w:t>
      </w:r>
      <w:proofErr w:type="spellStart"/>
      <w:r w:rsidR="00B00F0F">
        <w:rPr>
          <w:rFonts w:ascii="Verdana" w:hAnsi="Verdana"/>
          <w:sz w:val="16"/>
          <w:szCs w:val="16"/>
          <w:lang w:val="en-GB"/>
        </w:rPr>
        <w:t>s</w:t>
      </w:r>
      <w:r w:rsidR="0031366A">
        <w:rPr>
          <w:rFonts w:ascii="Verdana" w:hAnsi="Verdana"/>
          <w:sz w:val="16"/>
          <w:szCs w:val="16"/>
          <w:lang w:val="en-GB"/>
        </w:rPr>
        <w:t>ludges</w:t>
      </w:r>
      <w:proofErr w:type="spellEnd"/>
      <w:r w:rsidR="00B00F0F">
        <w:rPr>
          <w:rFonts w:ascii="Verdana" w:hAnsi="Verdana"/>
          <w:sz w:val="16"/>
          <w:szCs w:val="16"/>
          <w:lang w:val="en-GB"/>
        </w:rPr>
        <w:t xml:space="preserve"> from paper recycling.</w:t>
      </w:r>
      <w:r w:rsidR="007E46DD">
        <w:rPr>
          <w:rFonts w:ascii="Verdana" w:hAnsi="Verdana"/>
          <w:sz w:val="16"/>
          <w:szCs w:val="16"/>
          <w:lang w:val="en-GB"/>
        </w:rPr>
        <w:t xml:space="preserve"> </w:t>
      </w:r>
    </w:p>
    <w:p w14:paraId="0E00BBBB" w14:textId="77777777" w:rsidR="00533DBE" w:rsidRPr="00533DBE" w:rsidRDefault="00533DBE" w:rsidP="00533DBE">
      <w:pPr>
        <w:pStyle w:val="BodyText"/>
      </w:pPr>
    </w:p>
    <w:p w14:paraId="74411611" w14:textId="7C9FEBB9" w:rsidR="00533DBE" w:rsidRDefault="00533DBE" w:rsidP="00533DBE">
      <w:pPr>
        <w:pStyle w:val="Heading3"/>
      </w:pPr>
      <w:r w:rsidRPr="00533DBE">
        <w:lastRenderedPageBreak/>
        <w:t>Environmental monitoring data</w:t>
      </w:r>
    </w:p>
    <w:p w14:paraId="3F9B7964" w14:textId="713AC518" w:rsidR="00124BE4" w:rsidRPr="00124BE4" w:rsidRDefault="000578F2" w:rsidP="00124BE4">
      <w:pPr>
        <w:pStyle w:val="BodyText"/>
        <w:rPr>
          <w:rFonts w:ascii="Verdana" w:hAnsi="Verdana"/>
          <w:sz w:val="20"/>
        </w:rPr>
      </w:pPr>
      <w:r>
        <w:rPr>
          <w:rFonts w:ascii="Verdana" w:hAnsi="Verdana"/>
          <w:sz w:val="20"/>
        </w:rPr>
        <w:t>MCCPs</w:t>
      </w:r>
      <w:r w:rsidR="00367D7E">
        <w:rPr>
          <w:rFonts w:ascii="Verdana" w:hAnsi="Verdana"/>
          <w:sz w:val="20"/>
        </w:rPr>
        <w:t xml:space="preserve"> is not routinely included in environmental monitoring programmes. </w:t>
      </w:r>
      <w:r w:rsidR="00124BE4" w:rsidRPr="00124BE4">
        <w:rPr>
          <w:rFonts w:ascii="Verdana" w:hAnsi="Verdana"/>
          <w:sz w:val="20"/>
        </w:rPr>
        <w:t xml:space="preserve">Due to the complex nature of this UVCB substance, chemical analysis in </w:t>
      </w:r>
      <w:r w:rsidR="00AF3CB0" w:rsidRPr="00124BE4">
        <w:rPr>
          <w:rFonts w:ascii="Verdana" w:hAnsi="Verdana"/>
          <w:sz w:val="20"/>
        </w:rPr>
        <w:t>environmental</w:t>
      </w:r>
      <w:r w:rsidR="00124BE4" w:rsidRPr="00124BE4">
        <w:rPr>
          <w:rFonts w:ascii="Verdana" w:hAnsi="Verdana"/>
          <w:sz w:val="20"/>
        </w:rPr>
        <w:t xml:space="preserve"> samples is challenging. In an inter-laboratory comparison, the most commonly used analytical technique for </w:t>
      </w:r>
      <w:r w:rsidR="003A6F22">
        <w:rPr>
          <w:rFonts w:ascii="Verdana" w:hAnsi="Verdana"/>
          <w:sz w:val="20"/>
        </w:rPr>
        <w:t>SCCPs</w:t>
      </w:r>
      <w:r w:rsidR="00124BE4" w:rsidRPr="00124BE4">
        <w:rPr>
          <w:rFonts w:ascii="Verdana" w:hAnsi="Verdana"/>
          <w:sz w:val="20"/>
        </w:rPr>
        <w:t xml:space="preserve"> analysis – GC-ECNI-LRMS – showed the largest variation. High Resolution Mass Spectrometry (HRMS) was recommended to be used in future. The degree of chlorination can also be important, especially if the substance in a sample differs from the analytical standards used. A large proportion of measured values reported in the academic literature may therefore not be accurate.</w:t>
      </w:r>
    </w:p>
    <w:p w14:paraId="5B8E7825" w14:textId="323B7FD6" w:rsidR="00124BE4" w:rsidRPr="00124BE4" w:rsidRDefault="00124BE4" w:rsidP="00124BE4">
      <w:pPr>
        <w:pStyle w:val="BodyText"/>
        <w:rPr>
          <w:rFonts w:ascii="Verdana" w:hAnsi="Verdana"/>
          <w:sz w:val="20"/>
        </w:rPr>
      </w:pPr>
      <w:r w:rsidRPr="00124BE4">
        <w:rPr>
          <w:rFonts w:ascii="Verdana" w:hAnsi="Verdana"/>
          <w:sz w:val="20"/>
        </w:rPr>
        <w:t xml:space="preserve">The available European monitoring data generally show widespread occurrence of </w:t>
      </w:r>
      <w:r w:rsidR="000578F2">
        <w:rPr>
          <w:rFonts w:ascii="Verdana" w:hAnsi="Verdana"/>
          <w:sz w:val="20"/>
        </w:rPr>
        <w:t>MCCPs</w:t>
      </w:r>
      <w:r w:rsidRPr="00124BE4">
        <w:rPr>
          <w:rFonts w:ascii="Verdana" w:hAnsi="Verdana"/>
          <w:sz w:val="20"/>
        </w:rPr>
        <w:t xml:space="preserve"> in water (at concentrations typically up to a few </w:t>
      </w:r>
      <w:r w:rsidRPr="00124BE4">
        <w:rPr>
          <w:rFonts w:ascii="Verdana" w:hAnsi="Verdana" w:cs="Calibri"/>
          <w:sz w:val="20"/>
        </w:rPr>
        <w:t>µ</w:t>
      </w:r>
      <w:r w:rsidRPr="00124BE4">
        <w:rPr>
          <w:rFonts w:ascii="Verdana" w:hAnsi="Verdana"/>
          <w:sz w:val="20"/>
        </w:rPr>
        <w:t>g/L), sediment (at concentrations typically up to a ca. 2 mg/kg</w:t>
      </w:r>
      <w:r w:rsidR="000354E4">
        <w:rPr>
          <w:rFonts w:ascii="Verdana" w:hAnsi="Verdana"/>
          <w:sz w:val="20"/>
        </w:rPr>
        <w:t xml:space="preserve"> </w:t>
      </w:r>
      <w:r w:rsidR="00CB7C56" w:rsidRPr="00124BE4">
        <w:rPr>
          <w:rFonts w:ascii="Verdana" w:hAnsi="Verdana"/>
          <w:sz w:val="20"/>
        </w:rPr>
        <w:t>dry weight</w:t>
      </w:r>
      <w:r w:rsidRPr="00124BE4">
        <w:rPr>
          <w:rFonts w:ascii="Verdana" w:hAnsi="Verdana"/>
          <w:sz w:val="20"/>
        </w:rPr>
        <w:t xml:space="preserve">) and biota (typically below 1 mg/kg </w:t>
      </w:r>
      <w:r w:rsidR="00CB7C56">
        <w:rPr>
          <w:rFonts w:ascii="Verdana" w:hAnsi="Verdana"/>
          <w:sz w:val="20"/>
        </w:rPr>
        <w:t>wet</w:t>
      </w:r>
      <w:r w:rsidR="00CB7C56" w:rsidRPr="00124BE4">
        <w:rPr>
          <w:rFonts w:ascii="Verdana" w:hAnsi="Verdana"/>
          <w:sz w:val="20"/>
        </w:rPr>
        <w:t xml:space="preserve"> weight </w:t>
      </w:r>
      <w:r w:rsidRPr="00124BE4">
        <w:rPr>
          <w:rFonts w:ascii="Verdana" w:hAnsi="Verdana"/>
          <w:sz w:val="20"/>
        </w:rPr>
        <w:t xml:space="preserve">but higher concentrations up to around 80 mg/kg have been reported in some studies). </w:t>
      </w:r>
      <w:r w:rsidR="000578F2">
        <w:rPr>
          <w:rFonts w:ascii="Verdana" w:hAnsi="Verdana"/>
          <w:sz w:val="20"/>
        </w:rPr>
        <w:t>MCCPs</w:t>
      </w:r>
      <w:r w:rsidRPr="00124BE4">
        <w:rPr>
          <w:rFonts w:ascii="Verdana" w:hAnsi="Verdana"/>
          <w:sz w:val="20"/>
        </w:rPr>
        <w:t xml:space="preserve"> is also found in sewage sludge up to 9</w:t>
      </w:r>
      <w:r w:rsidR="00D95D57">
        <w:rPr>
          <w:rFonts w:ascii="Verdana" w:hAnsi="Verdana"/>
          <w:sz w:val="20"/>
        </w:rPr>
        <w:t>,</w:t>
      </w:r>
      <w:r w:rsidRPr="00124BE4">
        <w:rPr>
          <w:rFonts w:ascii="Verdana" w:hAnsi="Verdana"/>
          <w:sz w:val="20"/>
        </w:rPr>
        <w:t xml:space="preserve">700 mg/kg dry weight. Low levels of chlorinated paraffins (determined as the sum of </w:t>
      </w:r>
      <w:r w:rsidR="003A6F22">
        <w:rPr>
          <w:rFonts w:ascii="Verdana" w:hAnsi="Verdana"/>
          <w:sz w:val="20"/>
        </w:rPr>
        <w:t>SCCPs</w:t>
      </w:r>
      <w:r w:rsidRPr="00124BE4">
        <w:rPr>
          <w:rFonts w:ascii="Verdana" w:hAnsi="Verdana"/>
          <w:sz w:val="20"/>
        </w:rPr>
        <w:t xml:space="preserve"> and </w:t>
      </w:r>
      <w:r w:rsidR="000578F2">
        <w:rPr>
          <w:rFonts w:ascii="Verdana" w:hAnsi="Verdana"/>
          <w:sz w:val="20"/>
        </w:rPr>
        <w:t>MCCPs</w:t>
      </w:r>
      <w:r w:rsidRPr="00124BE4">
        <w:rPr>
          <w:rFonts w:ascii="Verdana" w:hAnsi="Verdana"/>
          <w:sz w:val="20"/>
        </w:rPr>
        <w:t xml:space="preserve">) were present in an indoor air sample from apartments in </w:t>
      </w:r>
      <w:smartTag w:uri="urn:schemas-microsoft-com:office:smarttags" w:element="City">
        <w:r w:rsidRPr="00124BE4">
          <w:rPr>
            <w:rFonts w:ascii="Verdana" w:hAnsi="Verdana"/>
            <w:sz w:val="20"/>
          </w:rPr>
          <w:t>Stockholm</w:t>
        </w:r>
      </w:smartTag>
      <w:r w:rsidRPr="00124BE4">
        <w:rPr>
          <w:rFonts w:ascii="Verdana" w:hAnsi="Verdana"/>
          <w:sz w:val="20"/>
        </w:rPr>
        <w:t xml:space="preserve">, Sweden (&lt;5 </w:t>
      </w:r>
      <w:r w:rsidR="00367D7E">
        <w:rPr>
          <w:rFonts w:ascii="Verdana" w:hAnsi="Verdana"/>
          <w:sz w:val="20"/>
        </w:rPr>
        <w:t>– 210 </w:t>
      </w:r>
      <w:r w:rsidRPr="00124BE4">
        <w:rPr>
          <w:rFonts w:ascii="Verdana" w:hAnsi="Verdana"/>
          <w:sz w:val="20"/>
        </w:rPr>
        <w:t>ng/m</w:t>
      </w:r>
      <w:r w:rsidRPr="00124BE4">
        <w:rPr>
          <w:rFonts w:ascii="Verdana" w:hAnsi="Verdana"/>
          <w:sz w:val="20"/>
          <w:vertAlign w:val="superscript"/>
        </w:rPr>
        <w:t>3</w:t>
      </w:r>
      <w:r w:rsidRPr="00124BE4">
        <w:rPr>
          <w:rFonts w:ascii="Verdana" w:hAnsi="Verdana"/>
          <w:sz w:val="20"/>
        </w:rPr>
        <w:t xml:space="preserve">, dominated by the more volatile </w:t>
      </w:r>
      <w:r w:rsidR="003A6F22">
        <w:rPr>
          <w:rFonts w:ascii="Verdana" w:hAnsi="Verdana"/>
          <w:sz w:val="20"/>
        </w:rPr>
        <w:t>SCCPs</w:t>
      </w:r>
      <w:r w:rsidRPr="00124BE4">
        <w:rPr>
          <w:rFonts w:ascii="Verdana" w:hAnsi="Verdana"/>
          <w:sz w:val="20"/>
        </w:rPr>
        <w:t xml:space="preserve">). Levels in dust were reported to be in the low mg/kg range. </w:t>
      </w:r>
      <w:r w:rsidR="000578F2">
        <w:rPr>
          <w:rFonts w:ascii="Verdana" w:hAnsi="Verdana"/>
          <w:sz w:val="20"/>
        </w:rPr>
        <w:t>MCCPs</w:t>
      </w:r>
      <w:r w:rsidR="00922BAB">
        <w:rPr>
          <w:rFonts w:ascii="Verdana" w:hAnsi="Verdana"/>
          <w:sz w:val="20"/>
        </w:rPr>
        <w:t xml:space="preserve"> was</w:t>
      </w:r>
      <w:r w:rsidRPr="00124BE4">
        <w:rPr>
          <w:rFonts w:ascii="Verdana" w:hAnsi="Verdana"/>
          <w:sz w:val="20"/>
        </w:rPr>
        <w:t xml:space="preserve"> present at concentrations of &lt;0.81 to 14.5 ng/m</w:t>
      </w:r>
      <w:r w:rsidRPr="00124BE4">
        <w:rPr>
          <w:rFonts w:ascii="Verdana" w:hAnsi="Verdana"/>
          <w:sz w:val="20"/>
          <w:vertAlign w:val="superscript"/>
        </w:rPr>
        <w:t>3</w:t>
      </w:r>
      <w:r w:rsidRPr="00124BE4">
        <w:rPr>
          <w:rFonts w:ascii="Verdana" w:hAnsi="Verdana"/>
          <w:sz w:val="20"/>
        </w:rPr>
        <w:t xml:space="preserve"> (mean 3.0 ng/m</w:t>
      </w:r>
      <w:r w:rsidRPr="00124BE4">
        <w:rPr>
          <w:rFonts w:ascii="Verdana" w:hAnsi="Verdana"/>
          <w:sz w:val="20"/>
          <w:vertAlign w:val="superscript"/>
        </w:rPr>
        <w:t>3</w:t>
      </w:r>
      <w:r w:rsidRPr="00124BE4">
        <w:rPr>
          <w:rFonts w:ascii="Verdana" w:hAnsi="Verdana"/>
          <w:sz w:val="20"/>
        </w:rPr>
        <w:t xml:space="preserve">) in air samples from the </w:t>
      </w:r>
      <w:proofErr w:type="spellStart"/>
      <w:r w:rsidRPr="00124BE4">
        <w:rPr>
          <w:rFonts w:ascii="Verdana" w:hAnsi="Verdana"/>
          <w:sz w:val="20"/>
        </w:rPr>
        <w:t>Hazelrigg</w:t>
      </w:r>
      <w:proofErr w:type="spellEnd"/>
      <w:r w:rsidRPr="00124BE4">
        <w:rPr>
          <w:rFonts w:ascii="Verdana" w:hAnsi="Verdana"/>
          <w:sz w:val="20"/>
        </w:rPr>
        <w:t xml:space="preserve"> field station near </w:t>
      </w:r>
      <w:smartTag w:uri="urn:schemas-microsoft-com:office:smarttags" w:element="City">
        <w:r w:rsidRPr="00124BE4">
          <w:rPr>
            <w:rFonts w:ascii="Verdana" w:hAnsi="Verdana"/>
            <w:sz w:val="20"/>
          </w:rPr>
          <w:t>Lancaster</w:t>
        </w:r>
      </w:smartTag>
      <w:r w:rsidRPr="00124BE4">
        <w:rPr>
          <w:rFonts w:ascii="Verdana" w:hAnsi="Verdana"/>
          <w:sz w:val="20"/>
        </w:rPr>
        <w:t>, UK in 2005.</w:t>
      </w:r>
    </w:p>
    <w:p w14:paraId="4378695C" w14:textId="7D6EC124" w:rsidR="00124BE4" w:rsidRPr="00124BE4" w:rsidRDefault="00124BE4" w:rsidP="00124BE4">
      <w:pPr>
        <w:pStyle w:val="BodyText"/>
        <w:rPr>
          <w:rFonts w:ascii="Verdana" w:hAnsi="Verdana"/>
          <w:sz w:val="20"/>
        </w:rPr>
      </w:pPr>
      <w:r w:rsidRPr="00124BE4">
        <w:rPr>
          <w:rFonts w:ascii="Verdana" w:hAnsi="Verdana"/>
          <w:sz w:val="20"/>
        </w:rPr>
        <w:t>Further information can be found in the Substance Evaluation report.</w:t>
      </w:r>
    </w:p>
    <w:p w14:paraId="0E7588E5" w14:textId="77777777" w:rsidR="00124BE4" w:rsidRDefault="00124BE4" w:rsidP="00124BE4">
      <w:pPr>
        <w:pStyle w:val="BodyText"/>
        <w:rPr>
          <w:rFonts w:ascii="Verdana" w:hAnsi="Verdana"/>
          <w:sz w:val="20"/>
        </w:rPr>
      </w:pPr>
    </w:p>
    <w:p w14:paraId="517FCC70" w14:textId="1092841C" w:rsidR="00533DBE" w:rsidRDefault="00533DBE" w:rsidP="00533DBE">
      <w:pPr>
        <w:pStyle w:val="Heading3"/>
      </w:pPr>
      <w:r>
        <w:t xml:space="preserve">Alternatives to </w:t>
      </w:r>
      <w:r w:rsidR="000578F2">
        <w:t>MCCPs</w:t>
      </w:r>
    </w:p>
    <w:p w14:paraId="1F724DA1" w14:textId="2E24D770" w:rsidR="00EA772F" w:rsidRDefault="001F3FA9" w:rsidP="00EA772F">
      <w:pPr>
        <w:pStyle w:val="BodyText"/>
        <w:rPr>
          <w:rFonts w:ascii="Verdana" w:hAnsi="Verdana"/>
          <w:sz w:val="20"/>
        </w:rPr>
      </w:pPr>
      <w:r w:rsidRPr="001F3FA9">
        <w:rPr>
          <w:rFonts w:ascii="Verdana" w:hAnsi="Verdana"/>
          <w:sz w:val="20"/>
        </w:rPr>
        <w:t xml:space="preserve">Potential alternatives </w:t>
      </w:r>
      <w:r>
        <w:rPr>
          <w:rFonts w:ascii="Verdana" w:hAnsi="Verdana"/>
          <w:sz w:val="20"/>
        </w:rPr>
        <w:t xml:space="preserve">to </w:t>
      </w:r>
      <w:r w:rsidR="000578F2">
        <w:rPr>
          <w:rFonts w:ascii="Verdana" w:hAnsi="Verdana"/>
          <w:sz w:val="20"/>
        </w:rPr>
        <w:t>MCCPs</w:t>
      </w:r>
      <w:r w:rsidR="00607BBD">
        <w:rPr>
          <w:rFonts w:ascii="Verdana" w:hAnsi="Verdana"/>
          <w:sz w:val="20"/>
        </w:rPr>
        <w:t xml:space="preserve"> </w:t>
      </w:r>
      <w:r>
        <w:rPr>
          <w:rFonts w:ascii="Verdana" w:hAnsi="Verdana"/>
          <w:sz w:val="20"/>
        </w:rPr>
        <w:t xml:space="preserve">are identified </w:t>
      </w:r>
      <w:r w:rsidR="00AF74D5">
        <w:rPr>
          <w:rFonts w:ascii="Verdana" w:hAnsi="Verdana"/>
          <w:sz w:val="20"/>
        </w:rPr>
        <w:t xml:space="preserve">and summarised </w:t>
      </w:r>
      <w:r>
        <w:rPr>
          <w:rFonts w:ascii="Verdana" w:hAnsi="Verdana"/>
          <w:sz w:val="20"/>
        </w:rPr>
        <w:t xml:space="preserve">in </w:t>
      </w:r>
      <w:r w:rsidR="00F07BA6">
        <w:rPr>
          <w:rFonts w:ascii="Verdana" w:hAnsi="Verdana"/>
          <w:sz w:val="20"/>
        </w:rPr>
        <w:fldChar w:fldCharType="begin"/>
      </w:r>
      <w:r w:rsidR="00F07BA6">
        <w:rPr>
          <w:rFonts w:ascii="Verdana" w:hAnsi="Verdana"/>
          <w:sz w:val="20"/>
        </w:rPr>
        <w:instrText xml:space="preserve"> REF _Ref23865246 \h </w:instrText>
      </w:r>
      <w:r w:rsidR="00F07BA6">
        <w:rPr>
          <w:rFonts w:ascii="Verdana" w:hAnsi="Verdana"/>
          <w:sz w:val="20"/>
        </w:rPr>
      </w:r>
      <w:r w:rsidR="00F07BA6">
        <w:rPr>
          <w:rFonts w:ascii="Verdana" w:hAnsi="Verdana"/>
          <w:sz w:val="20"/>
        </w:rPr>
        <w:fldChar w:fldCharType="separate"/>
      </w:r>
      <w:r w:rsidR="00F07BA6" w:rsidRPr="00F07BA6">
        <w:rPr>
          <w:rFonts w:ascii="Verdana" w:hAnsi="Verdana"/>
          <w:b/>
          <w:sz w:val="20"/>
        </w:rPr>
        <w:t xml:space="preserve">Table </w:t>
      </w:r>
      <w:r w:rsidR="00F07BA6" w:rsidRPr="00F07BA6">
        <w:rPr>
          <w:rFonts w:ascii="Verdana" w:hAnsi="Verdana"/>
          <w:b/>
          <w:noProof/>
          <w:sz w:val="20"/>
        </w:rPr>
        <w:t>10</w:t>
      </w:r>
      <w:r w:rsidR="00F07BA6">
        <w:rPr>
          <w:rFonts w:ascii="Verdana" w:hAnsi="Verdana"/>
          <w:sz w:val="20"/>
        </w:rPr>
        <w:fldChar w:fldCharType="end"/>
      </w:r>
      <w:r w:rsidR="00F07BA6">
        <w:rPr>
          <w:rFonts w:ascii="Verdana" w:hAnsi="Verdana"/>
          <w:sz w:val="20"/>
        </w:rPr>
        <w:t xml:space="preserve"> </w:t>
      </w:r>
      <w:r>
        <w:rPr>
          <w:rFonts w:ascii="Verdana" w:hAnsi="Verdana"/>
          <w:sz w:val="20"/>
        </w:rPr>
        <w:t xml:space="preserve">below, reproduced </w:t>
      </w:r>
      <w:r w:rsidRPr="00375F4D">
        <w:rPr>
          <w:rFonts w:ascii="Verdana" w:hAnsi="Verdana"/>
          <w:sz w:val="20"/>
        </w:rPr>
        <w:t>from the</w:t>
      </w:r>
      <w:r w:rsidR="00DF4EB3" w:rsidRPr="00375F4D">
        <w:rPr>
          <w:rFonts w:ascii="Verdana" w:hAnsi="Verdana"/>
          <w:sz w:val="20"/>
        </w:rPr>
        <w:t xml:space="preserve"> transitional </w:t>
      </w:r>
      <w:r w:rsidR="00AF3CB0" w:rsidRPr="00375F4D">
        <w:rPr>
          <w:rFonts w:ascii="Verdana" w:hAnsi="Verdana"/>
          <w:sz w:val="20"/>
        </w:rPr>
        <w:t>dossier</w:t>
      </w:r>
      <w:r w:rsidR="00583039" w:rsidRPr="00375F4D">
        <w:rPr>
          <w:rFonts w:ascii="Verdana" w:hAnsi="Verdana"/>
          <w:sz w:val="20"/>
        </w:rPr>
        <w:t>.</w:t>
      </w:r>
      <w:r w:rsidR="00367D7E" w:rsidRPr="00375F4D">
        <w:rPr>
          <w:rFonts w:ascii="Verdana" w:hAnsi="Verdana"/>
          <w:sz w:val="20"/>
        </w:rPr>
        <w:t xml:space="preserve"> Since the data are now </w:t>
      </w:r>
      <w:r w:rsidR="00DF4EB3" w:rsidRPr="00375F4D">
        <w:rPr>
          <w:rFonts w:ascii="Verdana" w:hAnsi="Verdana"/>
          <w:sz w:val="20"/>
        </w:rPr>
        <w:t>approximately ten years</w:t>
      </w:r>
      <w:r w:rsidR="00367D7E" w:rsidRPr="00375F4D">
        <w:rPr>
          <w:rFonts w:ascii="Verdana" w:hAnsi="Verdana"/>
          <w:sz w:val="20"/>
        </w:rPr>
        <w:t xml:space="preserve"> old</w:t>
      </w:r>
      <w:r w:rsidR="00367D7E">
        <w:rPr>
          <w:rFonts w:ascii="Verdana" w:hAnsi="Verdana"/>
          <w:sz w:val="20"/>
        </w:rPr>
        <w:t>, a more comprehensive survey of industry would be bene</w:t>
      </w:r>
      <w:r w:rsidR="00DF4EB3">
        <w:rPr>
          <w:rFonts w:ascii="Verdana" w:hAnsi="Verdana"/>
          <w:sz w:val="20"/>
        </w:rPr>
        <w:t>f</w:t>
      </w:r>
      <w:r w:rsidR="00367D7E">
        <w:rPr>
          <w:rFonts w:ascii="Verdana" w:hAnsi="Verdana"/>
          <w:sz w:val="20"/>
        </w:rPr>
        <w:t>ic</w:t>
      </w:r>
      <w:r w:rsidR="00DF4EB3">
        <w:rPr>
          <w:rFonts w:ascii="Verdana" w:hAnsi="Verdana"/>
          <w:sz w:val="20"/>
        </w:rPr>
        <w:t>i</w:t>
      </w:r>
      <w:r w:rsidR="00367D7E">
        <w:rPr>
          <w:rFonts w:ascii="Verdana" w:hAnsi="Verdana"/>
          <w:sz w:val="20"/>
        </w:rPr>
        <w:t>al.</w:t>
      </w:r>
    </w:p>
    <w:p w14:paraId="73AA0D1A" w14:textId="77777777" w:rsidR="00665807" w:rsidRDefault="00665807" w:rsidP="00EA772F">
      <w:pPr>
        <w:pStyle w:val="BodyText"/>
        <w:rPr>
          <w:rFonts w:ascii="Verdana" w:hAnsi="Verdana"/>
          <w:sz w:val="20"/>
        </w:rPr>
        <w:sectPr w:rsidR="00665807" w:rsidSect="00EA772F">
          <w:pgSz w:w="11906" w:h="16838" w:code="9"/>
          <w:pgMar w:top="1418" w:right="1797" w:bottom="1134" w:left="1797" w:header="680" w:footer="567" w:gutter="0"/>
          <w:cols w:space="708"/>
          <w:docGrid w:linePitch="360"/>
        </w:sectPr>
      </w:pPr>
    </w:p>
    <w:p w14:paraId="51E769DE" w14:textId="77777777" w:rsidR="00665807" w:rsidRDefault="00665807" w:rsidP="00665807">
      <w:pPr>
        <w:pStyle w:val="Caption"/>
        <w:ind w:left="0"/>
        <w:rPr>
          <w:rFonts w:ascii="Verdana" w:hAnsi="Verdana"/>
          <w:b/>
          <w:sz w:val="20"/>
        </w:rPr>
      </w:pPr>
      <w:bookmarkStart w:id="31" w:name="_Ref23865246"/>
    </w:p>
    <w:p w14:paraId="28C77895" w14:textId="79BD663B" w:rsidR="00DF4EB3" w:rsidRPr="00DF4EB3" w:rsidRDefault="00F07BA6" w:rsidP="00665807">
      <w:pPr>
        <w:pStyle w:val="Caption"/>
        <w:ind w:left="0"/>
        <w:rPr>
          <w:rFonts w:ascii="Verdana" w:hAnsi="Verdana"/>
          <w:b/>
          <w:sz w:val="20"/>
        </w:rPr>
      </w:pPr>
      <w:r w:rsidRPr="00F07BA6">
        <w:rPr>
          <w:rFonts w:ascii="Verdana" w:hAnsi="Verdana"/>
          <w:b/>
          <w:sz w:val="20"/>
        </w:rPr>
        <w:t xml:space="preserve">Table </w:t>
      </w:r>
      <w:r w:rsidRPr="00F07BA6">
        <w:rPr>
          <w:rFonts w:ascii="Verdana" w:hAnsi="Verdana"/>
          <w:b/>
          <w:sz w:val="20"/>
        </w:rPr>
        <w:fldChar w:fldCharType="begin"/>
      </w:r>
      <w:r w:rsidRPr="00F07BA6">
        <w:rPr>
          <w:rFonts w:ascii="Verdana" w:hAnsi="Verdana"/>
          <w:b/>
          <w:sz w:val="20"/>
        </w:rPr>
        <w:instrText xml:space="preserve"> SEQ Table \* ARABIC </w:instrText>
      </w:r>
      <w:r w:rsidRPr="00F07BA6">
        <w:rPr>
          <w:rFonts w:ascii="Verdana" w:hAnsi="Verdana"/>
          <w:b/>
          <w:sz w:val="20"/>
        </w:rPr>
        <w:fldChar w:fldCharType="separate"/>
      </w:r>
      <w:r w:rsidR="005C355A">
        <w:rPr>
          <w:rFonts w:ascii="Verdana" w:hAnsi="Verdana"/>
          <w:b/>
          <w:noProof/>
          <w:sz w:val="20"/>
        </w:rPr>
        <w:t>10</w:t>
      </w:r>
      <w:r w:rsidRPr="00F07BA6">
        <w:rPr>
          <w:rFonts w:ascii="Verdana" w:hAnsi="Verdana"/>
          <w:b/>
          <w:sz w:val="20"/>
        </w:rPr>
        <w:fldChar w:fldCharType="end"/>
      </w:r>
      <w:bookmarkEnd w:id="31"/>
      <w:r w:rsidR="00DF4EB3" w:rsidRPr="00DF4EB3">
        <w:rPr>
          <w:rFonts w:ascii="Verdana" w:hAnsi="Verdana"/>
          <w:b/>
          <w:sz w:val="20"/>
        </w:rPr>
        <w:t xml:space="preserve">. Alternatives to </w:t>
      </w:r>
      <w:r w:rsidR="000578F2">
        <w:rPr>
          <w:rFonts w:ascii="Verdana" w:hAnsi="Verdana"/>
          <w:b/>
          <w:sz w:val="20"/>
        </w:rPr>
        <w:t>MCCPs</w:t>
      </w:r>
    </w:p>
    <w:tbl>
      <w:tblPr>
        <w:tblW w:w="149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268"/>
        <w:gridCol w:w="4394"/>
        <w:gridCol w:w="5751"/>
      </w:tblGrid>
      <w:tr w:rsidR="00EA772F" w:rsidRPr="002D4754" w14:paraId="793210FA" w14:textId="77777777" w:rsidTr="00D85444">
        <w:trPr>
          <w:tblHeader/>
        </w:trPr>
        <w:tc>
          <w:tcPr>
            <w:tcW w:w="2527" w:type="dxa"/>
            <w:vMerge w:val="restart"/>
            <w:shd w:val="clear" w:color="auto" w:fill="auto"/>
            <w:vAlign w:val="center"/>
          </w:tcPr>
          <w:p w14:paraId="4F811D91" w14:textId="77777777" w:rsidR="00EA772F" w:rsidRPr="002D4754" w:rsidRDefault="00EA772F" w:rsidP="00EA772F">
            <w:pPr>
              <w:spacing w:after="240"/>
              <w:jc w:val="center"/>
              <w:rPr>
                <w:rFonts w:ascii="Verdana" w:hAnsi="Verdana"/>
                <w:b/>
                <w:sz w:val="16"/>
                <w:szCs w:val="16"/>
                <w:lang w:val="en-GB" w:eastAsia="en-GB"/>
              </w:rPr>
            </w:pPr>
            <w:r w:rsidRPr="002D4754">
              <w:rPr>
                <w:rFonts w:ascii="Verdana" w:hAnsi="Verdana"/>
                <w:b/>
                <w:sz w:val="16"/>
                <w:szCs w:val="16"/>
                <w:lang w:val="en-GB" w:eastAsia="en-GB"/>
              </w:rPr>
              <w:t>Use</w:t>
            </w:r>
          </w:p>
        </w:tc>
        <w:tc>
          <w:tcPr>
            <w:tcW w:w="12413" w:type="dxa"/>
            <w:gridSpan w:val="3"/>
            <w:shd w:val="clear" w:color="auto" w:fill="auto"/>
            <w:vAlign w:val="center"/>
          </w:tcPr>
          <w:p w14:paraId="27581533" w14:textId="77777777" w:rsidR="00EA772F" w:rsidRPr="002D4754" w:rsidRDefault="00EA772F" w:rsidP="00EA772F">
            <w:pPr>
              <w:spacing w:after="0"/>
              <w:jc w:val="center"/>
              <w:rPr>
                <w:rFonts w:ascii="Verdana" w:hAnsi="Verdana"/>
                <w:b/>
                <w:sz w:val="16"/>
                <w:szCs w:val="16"/>
                <w:lang w:val="en-GB" w:eastAsia="en-GB"/>
              </w:rPr>
            </w:pPr>
            <w:r w:rsidRPr="002D4754">
              <w:rPr>
                <w:rFonts w:ascii="Verdana" w:hAnsi="Verdana"/>
                <w:b/>
                <w:sz w:val="16"/>
                <w:szCs w:val="16"/>
                <w:lang w:val="en-GB" w:eastAsia="en-GB"/>
              </w:rPr>
              <w:t>Alternatives</w:t>
            </w:r>
          </w:p>
        </w:tc>
      </w:tr>
      <w:tr w:rsidR="00EA772F" w:rsidRPr="002D4754" w14:paraId="49967966" w14:textId="77777777" w:rsidTr="00D85444">
        <w:trPr>
          <w:tblHeader/>
        </w:trPr>
        <w:tc>
          <w:tcPr>
            <w:tcW w:w="2527" w:type="dxa"/>
            <w:vMerge/>
            <w:shd w:val="clear" w:color="auto" w:fill="auto"/>
          </w:tcPr>
          <w:p w14:paraId="10C243A7" w14:textId="77777777" w:rsidR="00EA772F" w:rsidRPr="002D4754" w:rsidRDefault="00EA772F" w:rsidP="00EA772F">
            <w:pPr>
              <w:spacing w:after="0"/>
              <w:jc w:val="center"/>
              <w:rPr>
                <w:rFonts w:ascii="Verdana" w:hAnsi="Verdana"/>
                <w:b/>
                <w:sz w:val="16"/>
                <w:szCs w:val="16"/>
                <w:lang w:val="en-GB" w:eastAsia="en-GB"/>
              </w:rPr>
            </w:pPr>
          </w:p>
        </w:tc>
        <w:tc>
          <w:tcPr>
            <w:tcW w:w="2268" w:type="dxa"/>
            <w:shd w:val="clear" w:color="auto" w:fill="auto"/>
          </w:tcPr>
          <w:p w14:paraId="07AA28D3" w14:textId="77777777" w:rsidR="00EA772F" w:rsidRPr="002D4754" w:rsidRDefault="00EA772F" w:rsidP="00EA772F">
            <w:pPr>
              <w:spacing w:after="0"/>
              <w:jc w:val="center"/>
              <w:rPr>
                <w:rFonts w:ascii="Verdana" w:hAnsi="Verdana"/>
                <w:b/>
                <w:sz w:val="16"/>
                <w:szCs w:val="16"/>
                <w:lang w:val="en-GB" w:eastAsia="en-GB"/>
              </w:rPr>
            </w:pPr>
            <w:r w:rsidRPr="002D4754">
              <w:rPr>
                <w:rFonts w:ascii="Verdana" w:hAnsi="Verdana"/>
                <w:b/>
                <w:sz w:val="16"/>
                <w:szCs w:val="16"/>
                <w:lang w:val="en-GB" w:eastAsia="en-GB"/>
              </w:rPr>
              <w:t>Available substances</w:t>
            </w:r>
          </w:p>
        </w:tc>
        <w:tc>
          <w:tcPr>
            <w:tcW w:w="4394" w:type="dxa"/>
            <w:shd w:val="clear" w:color="auto" w:fill="auto"/>
          </w:tcPr>
          <w:p w14:paraId="25ECE140" w14:textId="77777777" w:rsidR="00EA772F" w:rsidRPr="002D4754" w:rsidRDefault="00EA772F" w:rsidP="00EA772F">
            <w:pPr>
              <w:spacing w:after="0"/>
              <w:jc w:val="center"/>
              <w:rPr>
                <w:rFonts w:ascii="Verdana" w:hAnsi="Verdana"/>
                <w:b/>
                <w:sz w:val="16"/>
                <w:szCs w:val="16"/>
                <w:lang w:val="en-GB" w:eastAsia="en-GB"/>
              </w:rPr>
            </w:pPr>
            <w:r w:rsidRPr="002D4754">
              <w:rPr>
                <w:rFonts w:ascii="Verdana" w:hAnsi="Verdana"/>
                <w:b/>
                <w:sz w:val="16"/>
                <w:szCs w:val="16"/>
                <w:lang w:val="en-GB" w:eastAsia="en-GB"/>
              </w:rPr>
              <w:t>Identified hazards</w:t>
            </w:r>
          </w:p>
        </w:tc>
        <w:tc>
          <w:tcPr>
            <w:tcW w:w="5751" w:type="dxa"/>
            <w:shd w:val="clear" w:color="auto" w:fill="auto"/>
          </w:tcPr>
          <w:p w14:paraId="0B8A0961" w14:textId="77777777" w:rsidR="00EA772F" w:rsidRPr="002D4754" w:rsidRDefault="00EA772F" w:rsidP="00EA772F">
            <w:pPr>
              <w:spacing w:after="0"/>
              <w:jc w:val="center"/>
              <w:rPr>
                <w:rFonts w:ascii="Verdana" w:hAnsi="Verdana"/>
                <w:b/>
                <w:sz w:val="16"/>
                <w:szCs w:val="16"/>
                <w:lang w:val="en-GB" w:eastAsia="en-GB"/>
              </w:rPr>
            </w:pPr>
            <w:r w:rsidRPr="002D4754">
              <w:rPr>
                <w:rFonts w:ascii="Verdana" w:hAnsi="Verdana"/>
                <w:b/>
                <w:sz w:val="16"/>
                <w:szCs w:val="16"/>
                <w:lang w:val="en-GB" w:eastAsia="en-GB"/>
              </w:rPr>
              <w:t>Technical and economic feasibility</w:t>
            </w:r>
            <w:r w:rsidRPr="002D4754">
              <w:rPr>
                <w:rFonts w:ascii="Verdana" w:hAnsi="Verdana"/>
                <w:b/>
                <w:sz w:val="16"/>
                <w:szCs w:val="16"/>
                <w:vertAlign w:val="superscript"/>
                <w:lang w:val="en-GB" w:eastAsia="en-GB"/>
              </w:rPr>
              <w:footnoteReference w:id="5"/>
            </w:r>
          </w:p>
        </w:tc>
      </w:tr>
      <w:tr w:rsidR="00EA772F" w:rsidRPr="002D4754" w14:paraId="44C596B2" w14:textId="77777777" w:rsidTr="00EF4977">
        <w:tc>
          <w:tcPr>
            <w:tcW w:w="14940" w:type="dxa"/>
            <w:gridSpan w:val="4"/>
            <w:shd w:val="clear" w:color="auto" w:fill="C0C0C0"/>
          </w:tcPr>
          <w:p w14:paraId="2CBC0982" w14:textId="77777777" w:rsidR="00EA772F" w:rsidRPr="002D4754" w:rsidRDefault="00EA772F" w:rsidP="00EA772F">
            <w:pPr>
              <w:tabs>
                <w:tab w:val="left" w:pos="2910"/>
              </w:tabs>
              <w:spacing w:after="0"/>
              <w:jc w:val="both"/>
              <w:rPr>
                <w:rFonts w:ascii="Verdana" w:hAnsi="Verdana"/>
                <w:sz w:val="16"/>
                <w:szCs w:val="16"/>
                <w:lang w:val="en-GB" w:eastAsia="en-GB"/>
              </w:rPr>
            </w:pPr>
            <w:r w:rsidRPr="002D4754">
              <w:rPr>
                <w:rFonts w:ascii="Verdana" w:hAnsi="Verdana"/>
                <w:b/>
                <w:sz w:val="16"/>
                <w:szCs w:val="16"/>
                <w:lang w:val="en-GB" w:eastAsia="en-GB"/>
              </w:rPr>
              <w:t>Polyvinyl chloride (PVC)</w:t>
            </w:r>
            <w:r w:rsidRPr="002D4754">
              <w:rPr>
                <w:rFonts w:ascii="Verdana" w:hAnsi="Verdana"/>
                <w:b/>
                <w:sz w:val="16"/>
                <w:szCs w:val="16"/>
                <w:lang w:val="en-GB" w:eastAsia="en-GB"/>
              </w:rPr>
              <w:tab/>
            </w:r>
          </w:p>
        </w:tc>
      </w:tr>
      <w:tr w:rsidR="00EA772F" w:rsidRPr="002D4754" w14:paraId="2D2CE5FA" w14:textId="77777777" w:rsidTr="00D85444">
        <w:tc>
          <w:tcPr>
            <w:tcW w:w="2527" w:type="dxa"/>
            <w:vMerge w:val="restart"/>
            <w:shd w:val="clear" w:color="auto" w:fill="auto"/>
          </w:tcPr>
          <w:p w14:paraId="6B32F5AA" w14:textId="52A99D0E" w:rsidR="00EA772F" w:rsidRPr="002D4754" w:rsidRDefault="000578F2" w:rsidP="00665807">
            <w:pPr>
              <w:spacing w:after="0"/>
              <w:rPr>
                <w:rFonts w:ascii="Verdana" w:hAnsi="Verdana"/>
                <w:sz w:val="16"/>
                <w:szCs w:val="16"/>
                <w:lang w:val="en-GB" w:eastAsia="en-GB"/>
              </w:rPr>
            </w:pPr>
            <w:r w:rsidRPr="002D4754">
              <w:rPr>
                <w:rFonts w:ascii="Verdana" w:hAnsi="Verdana"/>
                <w:sz w:val="16"/>
                <w:szCs w:val="16"/>
                <w:lang w:val="en-GB" w:eastAsia="en-GB"/>
              </w:rPr>
              <w:t>MCCPs</w:t>
            </w:r>
            <w:r w:rsidR="00DF4EB3" w:rsidRPr="002D4754">
              <w:rPr>
                <w:rFonts w:ascii="Verdana" w:hAnsi="Verdana"/>
                <w:sz w:val="16"/>
                <w:szCs w:val="16"/>
                <w:lang w:val="en-GB" w:eastAsia="en-GB"/>
              </w:rPr>
              <w:t xml:space="preserve"> is</w:t>
            </w:r>
            <w:r w:rsidR="00EA772F" w:rsidRPr="002D4754">
              <w:rPr>
                <w:rFonts w:ascii="Verdana" w:hAnsi="Verdana"/>
                <w:sz w:val="16"/>
                <w:szCs w:val="16"/>
                <w:lang w:val="en-GB" w:eastAsia="en-GB"/>
              </w:rPr>
              <w:t xml:space="preserve"> used as a secondary plasticiser/</w:t>
            </w:r>
            <w:r w:rsidR="00665807">
              <w:rPr>
                <w:rFonts w:ascii="Verdana" w:hAnsi="Verdana"/>
                <w:sz w:val="16"/>
                <w:szCs w:val="16"/>
                <w:lang w:val="en-GB" w:eastAsia="en-GB"/>
              </w:rPr>
              <w:t xml:space="preserve"> </w:t>
            </w:r>
            <w:r w:rsidR="00EA772F" w:rsidRPr="002D4754">
              <w:rPr>
                <w:rFonts w:ascii="Verdana" w:hAnsi="Verdana"/>
                <w:sz w:val="16"/>
                <w:szCs w:val="16"/>
                <w:lang w:val="en-GB" w:eastAsia="en-GB"/>
              </w:rPr>
              <w:t>flame retardant in various PVC products including: coatings, floorings, garden hose, shoe compounds, calendared flooring, cable sheathing/</w:t>
            </w:r>
            <w:r w:rsidR="00665807">
              <w:rPr>
                <w:rFonts w:ascii="Verdana" w:hAnsi="Verdana"/>
                <w:sz w:val="16"/>
                <w:szCs w:val="16"/>
                <w:lang w:val="en-GB" w:eastAsia="en-GB"/>
              </w:rPr>
              <w:t xml:space="preserve"> </w:t>
            </w:r>
            <w:r w:rsidR="00EA772F" w:rsidRPr="002D4754">
              <w:rPr>
                <w:rFonts w:ascii="Verdana" w:hAnsi="Verdana"/>
                <w:sz w:val="16"/>
                <w:szCs w:val="16"/>
                <w:lang w:val="en-GB" w:eastAsia="en-GB"/>
              </w:rPr>
              <w:t xml:space="preserve">insulation and general purpose PVC. </w:t>
            </w:r>
            <w:r w:rsidRPr="002D4754">
              <w:rPr>
                <w:rFonts w:ascii="Verdana" w:hAnsi="Verdana"/>
                <w:sz w:val="16"/>
                <w:szCs w:val="16"/>
                <w:lang w:val="en-GB" w:eastAsia="en-GB"/>
              </w:rPr>
              <w:t>MCCPs</w:t>
            </w:r>
            <w:r w:rsidR="00EA772F" w:rsidRPr="002D4754">
              <w:rPr>
                <w:rFonts w:ascii="Verdana" w:hAnsi="Verdana"/>
                <w:sz w:val="16"/>
                <w:szCs w:val="16"/>
                <w:lang w:val="en-GB" w:eastAsia="en-GB"/>
              </w:rPr>
              <w:t xml:space="preserve"> impart</w:t>
            </w:r>
            <w:r w:rsidR="00DF4EB3" w:rsidRPr="002D4754">
              <w:rPr>
                <w:rFonts w:ascii="Verdana" w:hAnsi="Verdana"/>
                <w:sz w:val="16"/>
                <w:szCs w:val="16"/>
                <w:lang w:val="en-GB" w:eastAsia="en-GB"/>
              </w:rPr>
              <w:t>s</w:t>
            </w:r>
            <w:r w:rsidR="00EA772F" w:rsidRPr="002D4754">
              <w:rPr>
                <w:rFonts w:ascii="Verdana" w:hAnsi="Verdana"/>
                <w:sz w:val="16"/>
                <w:szCs w:val="16"/>
                <w:lang w:val="en-GB" w:eastAsia="en-GB"/>
              </w:rPr>
              <w:t xml:space="preserve"> both plasticising effects and fire </w:t>
            </w:r>
            <w:proofErr w:type="spellStart"/>
            <w:r w:rsidR="00EA772F" w:rsidRPr="002D4754">
              <w:rPr>
                <w:rFonts w:ascii="Verdana" w:hAnsi="Verdana"/>
                <w:sz w:val="16"/>
                <w:szCs w:val="16"/>
                <w:lang w:val="en-GB" w:eastAsia="en-GB"/>
              </w:rPr>
              <w:t>retardancy</w:t>
            </w:r>
            <w:proofErr w:type="spellEnd"/>
            <w:r w:rsidR="00EA772F" w:rsidRPr="002D4754">
              <w:rPr>
                <w:rFonts w:ascii="Verdana" w:hAnsi="Verdana"/>
                <w:sz w:val="16"/>
                <w:szCs w:val="16"/>
                <w:lang w:val="en-GB" w:eastAsia="en-GB"/>
              </w:rPr>
              <w:t xml:space="preserve">. A move away from </w:t>
            </w:r>
            <w:r w:rsidRPr="002D4754">
              <w:rPr>
                <w:rFonts w:ascii="Verdana" w:hAnsi="Verdana"/>
                <w:sz w:val="16"/>
                <w:szCs w:val="16"/>
                <w:lang w:val="en-GB" w:eastAsia="en-GB"/>
              </w:rPr>
              <w:t>MCCPs</w:t>
            </w:r>
            <w:r w:rsidR="00EA772F" w:rsidRPr="002D4754">
              <w:rPr>
                <w:rFonts w:ascii="Verdana" w:hAnsi="Verdana"/>
                <w:sz w:val="16"/>
                <w:szCs w:val="16"/>
                <w:lang w:val="en-GB" w:eastAsia="en-GB"/>
              </w:rPr>
              <w:t xml:space="preserve"> may require the use of separate plasticisers and fire retardants.</w:t>
            </w:r>
          </w:p>
        </w:tc>
        <w:tc>
          <w:tcPr>
            <w:tcW w:w="2268" w:type="dxa"/>
            <w:shd w:val="clear" w:color="auto" w:fill="auto"/>
          </w:tcPr>
          <w:p w14:paraId="1D077425" w14:textId="32D96C2B"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LCCPs</w:t>
            </w:r>
          </w:p>
          <w:p w14:paraId="41FF6CCF" w14:textId="77777777" w:rsidR="00EA772F" w:rsidRPr="002D4754" w:rsidRDefault="00EA772F" w:rsidP="00EA772F">
            <w:pPr>
              <w:spacing w:after="0"/>
              <w:jc w:val="both"/>
              <w:rPr>
                <w:rFonts w:ascii="Verdana" w:hAnsi="Verdana"/>
                <w:sz w:val="16"/>
                <w:szCs w:val="16"/>
                <w:lang w:val="en-GB" w:eastAsia="en-GB"/>
              </w:rPr>
            </w:pPr>
          </w:p>
          <w:p w14:paraId="7EFE11F8" w14:textId="77777777" w:rsidR="00EA772F" w:rsidRPr="002D4754" w:rsidRDefault="00EA772F" w:rsidP="00EA772F">
            <w:pPr>
              <w:spacing w:after="0"/>
              <w:jc w:val="both"/>
              <w:rPr>
                <w:rFonts w:ascii="Verdana" w:hAnsi="Verdana"/>
                <w:sz w:val="16"/>
                <w:szCs w:val="16"/>
                <w:lang w:val="en-GB" w:eastAsia="en-GB"/>
              </w:rPr>
            </w:pPr>
          </w:p>
        </w:tc>
        <w:tc>
          <w:tcPr>
            <w:tcW w:w="4394" w:type="dxa"/>
            <w:shd w:val="clear" w:color="auto" w:fill="auto"/>
          </w:tcPr>
          <w:p w14:paraId="74044FF3" w14:textId="213F47B5" w:rsidR="00EA772F" w:rsidRPr="002D4754" w:rsidRDefault="00EA772F" w:rsidP="00EA772F">
            <w:pPr>
              <w:spacing w:after="0"/>
              <w:jc w:val="both"/>
              <w:rPr>
                <w:rFonts w:ascii="Verdana" w:hAnsi="Verdana"/>
                <w:sz w:val="16"/>
                <w:szCs w:val="16"/>
                <w:lang w:val="en-GB" w:eastAsia="en-GB"/>
              </w:rPr>
            </w:pPr>
            <w:bookmarkStart w:id="32" w:name="OLE_LINK1"/>
            <w:bookmarkStart w:id="33" w:name="OLE_LINK2"/>
            <w:r w:rsidRPr="002D4754">
              <w:rPr>
                <w:rFonts w:ascii="Verdana" w:hAnsi="Verdana"/>
                <w:sz w:val="16"/>
                <w:szCs w:val="16"/>
                <w:lang w:val="en-GB" w:eastAsia="en-GB"/>
              </w:rPr>
              <w:t>Environment risk assessment by the Environment Agency in the UK on LCCPs identified PEC/PNEC ratios above 1 for some uses (EA 2009). LCCPs with carbon chain length C</w:t>
            </w:r>
            <w:r w:rsidRPr="002D4754">
              <w:rPr>
                <w:rFonts w:ascii="Verdana" w:hAnsi="Verdana"/>
                <w:sz w:val="16"/>
                <w:szCs w:val="16"/>
                <w:vertAlign w:val="subscript"/>
                <w:lang w:val="en-GB" w:eastAsia="en-GB"/>
              </w:rPr>
              <w:t>18-20</w:t>
            </w:r>
            <w:r w:rsidRPr="002D4754">
              <w:rPr>
                <w:rFonts w:ascii="Verdana" w:hAnsi="Verdana"/>
                <w:sz w:val="16"/>
                <w:szCs w:val="16"/>
                <w:lang w:val="en-GB" w:eastAsia="en-GB"/>
              </w:rPr>
              <w:t xml:space="preserve"> may contain up to 20% C</w:t>
            </w:r>
            <w:r w:rsidRPr="002D4754">
              <w:rPr>
                <w:rFonts w:ascii="Verdana" w:hAnsi="Verdana"/>
                <w:sz w:val="16"/>
                <w:szCs w:val="16"/>
                <w:vertAlign w:val="subscript"/>
                <w:lang w:val="en-GB" w:eastAsia="en-GB"/>
              </w:rPr>
              <w:t>17</w:t>
            </w:r>
            <w:r w:rsidRPr="002D4754">
              <w:rPr>
                <w:rFonts w:ascii="Verdana" w:hAnsi="Verdana"/>
                <w:sz w:val="16"/>
                <w:szCs w:val="16"/>
                <w:lang w:val="en-GB" w:eastAsia="en-GB"/>
              </w:rPr>
              <w:t xml:space="preserve"> chlorinated paraffins. The implication of this for the hazardous properties of LCCPs has not yet been evaluated. </w:t>
            </w:r>
            <w:bookmarkEnd w:id="32"/>
            <w:bookmarkEnd w:id="33"/>
          </w:p>
        </w:tc>
        <w:tc>
          <w:tcPr>
            <w:tcW w:w="5751" w:type="dxa"/>
            <w:shd w:val="clear" w:color="auto" w:fill="auto"/>
          </w:tcPr>
          <w:p w14:paraId="647C1D07" w14:textId="3FCDFABD"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LCCPs suitable for some applications </w:t>
            </w:r>
            <w:r w:rsidR="004C6F64">
              <w:rPr>
                <w:rFonts w:ascii="Verdana" w:hAnsi="Verdana"/>
                <w:sz w:val="16"/>
                <w:szCs w:val="16"/>
                <w:lang w:val="en-GB" w:eastAsia="en-GB"/>
              </w:rPr>
              <w:t xml:space="preserve">– subject to viscosity considerations - </w:t>
            </w:r>
            <w:r w:rsidRPr="002D4754">
              <w:rPr>
                <w:rFonts w:ascii="Verdana" w:hAnsi="Verdana"/>
                <w:sz w:val="16"/>
                <w:szCs w:val="16"/>
                <w:lang w:val="en-GB" w:eastAsia="en-GB"/>
              </w:rPr>
              <w:t xml:space="preserve">but have a higher purchase price than </w:t>
            </w:r>
            <w:r w:rsidR="000578F2" w:rsidRPr="002D4754">
              <w:rPr>
                <w:rFonts w:ascii="Verdana" w:hAnsi="Verdana"/>
                <w:sz w:val="16"/>
                <w:szCs w:val="16"/>
                <w:lang w:val="en-GB" w:eastAsia="en-GB"/>
              </w:rPr>
              <w:t>MCCPs</w:t>
            </w:r>
            <w:r w:rsidRPr="002D4754">
              <w:rPr>
                <w:rFonts w:ascii="Verdana" w:hAnsi="Verdana"/>
                <w:sz w:val="16"/>
                <w:szCs w:val="16"/>
                <w:lang w:val="en-GB" w:eastAsia="en-GB"/>
              </w:rPr>
              <w:t>.</w:t>
            </w:r>
          </w:p>
          <w:p w14:paraId="08728A36" w14:textId="77777777" w:rsidR="00EA772F" w:rsidRPr="002D4754" w:rsidRDefault="00EA772F" w:rsidP="00EA772F">
            <w:pPr>
              <w:spacing w:after="0"/>
              <w:jc w:val="both"/>
              <w:rPr>
                <w:rFonts w:ascii="Verdana" w:hAnsi="Verdana"/>
                <w:sz w:val="16"/>
                <w:szCs w:val="16"/>
                <w:lang w:val="en-GB" w:eastAsia="en-GB"/>
              </w:rPr>
            </w:pPr>
          </w:p>
        </w:tc>
      </w:tr>
      <w:tr w:rsidR="00EA772F" w:rsidRPr="002D4754" w14:paraId="0E6E401D" w14:textId="77777777" w:rsidTr="00D85444">
        <w:tc>
          <w:tcPr>
            <w:tcW w:w="2527" w:type="dxa"/>
            <w:vMerge/>
            <w:shd w:val="clear" w:color="auto" w:fill="auto"/>
          </w:tcPr>
          <w:p w14:paraId="2E7F6FAE" w14:textId="77777777" w:rsidR="00EA772F" w:rsidRPr="002D4754" w:rsidRDefault="00EA772F" w:rsidP="00EA772F">
            <w:pPr>
              <w:spacing w:after="0"/>
              <w:jc w:val="both"/>
              <w:rPr>
                <w:rFonts w:ascii="Verdana" w:hAnsi="Verdana"/>
                <w:sz w:val="16"/>
                <w:szCs w:val="16"/>
                <w:lang w:val="en-GB" w:eastAsia="en-GB"/>
              </w:rPr>
            </w:pPr>
          </w:p>
        </w:tc>
        <w:tc>
          <w:tcPr>
            <w:tcW w:w="2268" w:type="dxa"/>
            <w:shd w:val="clear" w:color="auto" w:fill="auto"/>
          </w:tcPr>
          <w:p w14:paraId="69EC211A"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Phthalates e.g. di-</w:t>
            </w:r>
            <w:proofErr w:type="spellStart"/>
            <w:r w:rsidRPr="002D4754">
              <w:rPr>
                <w:rFonts w:ascii="Verdana" w:hAnsi="Verdana"/>
                <w:sz w:val="16"/>
                <w:szCs w:val="16"/>
                <w:lang w:val="en-GB" w:eastAsia="en-GB"/>
              </w:rPr>
              <w:t>isononyl</w:t>
            </w:r>
            <w:proofErr w:type="spellEnd"/>
            <w:r w:rsidRPr="002D4754">
              <w:rPr>
                <w:rFonts w:ascii="Verdana" w:hAnsi="Verdana"/>
                <w:sz w:val="16"/>
                <w:szCs w:val="16"/>
                <w:lang w:val="en-GB" w:eastAsia="en-GB"/>
              </w:rPr>
              <w:t xml:space="preserve"> phthalate have been identified as potential alternatives for the manufacture of wall coverings and cable compounds. Additional flame </w:t>
            </w:r>
            <w:proofErr w:type="spellStart"/>
            <w:r w:rsidRPr="002D4754">
              <w:rPr>
                <w:rFonts w:ascii="Verdana" w:hAnsi="Verdana"/>
                <w:sz w:val="16"/>
                <w:szCs w:val="16"/>
                <w:lang w:val="en-GB" w:eastAsia="en-GB"/>
              </w:rPr>
              <w:t>retardancy</w:t>
            </w:r>
            <w:proofErr w:type="spellEnd"/>
            <w:r w:rsidRPr="002D4754">
              <w:rPr>
                <w:rFonts w:ascii="Verdana" w:hAnsi="Verdana"/>
                <w:sz w:val="16"/>
                <w:szCs w:val="16"/>
                <w:lang w:val="en-GB" w:eastAsia="en-GB"/>
              </w:rPr>
              <w:t xml:space="preserve"> may be required for some cable applications. </w:t>
            </w:r>
            <w:r w:rsidRPr="002D4754">
              <w:rPr>
                <w:rFonts w:ascii="Verdana" w:hAnsi="Verdana"/>
                <w:color w:val="000000"/>
                <w:sz w:val="16"/>
                <w:szCs w:val="16"/>
                <w:lang w:val="en-GB" w:eastAsia="en-GB"/>
              </w:rPr>
              <w:t xml:space="preserve"> </w:t>
            </w:r>
          </w:p>
        </w:tc>
        <w:tc>
          <w:tcPr>
            <w:tcW w:w="4394" w:type="dxa"/>
            <w:shd w:val="clear" w:color="auto" w:fill="auto"/>
          </w:tcPr>
          <w:p w14:paraId="22BED9CF" w14:textId="3495942F" w:rsidR="00EA772F" w:rsidRPr="002D4754" w:rsidRDefault="00EA772F" w:rsidP="00AF74D5">
            <w:pPr>
              <w:spacing w:after="0"/>
              <w:jc w:val="both"/>
              <w:rPr>
                <w:rFonts w:ascii="Verdana" w:hAnsi="Verdana"/>
                <w:sz w:val="16"/>
                <w:szCs w:val="16"/>
                <w:lang w:val="en-GB" w:eastAsia="en-GB"/>
              </w:rPr>
            </w:pPr>
            <w:r w:rsidRPr="002D4754">
              <w:rPr>
                <w:rFonts w:ascii="Verdana" w:hAnsi="Verdana"/>
                <w:sz w:val="16"/>
                <w:szCs w:val="16"/>
                <w:lang w:val="en-GB" w:eastAsia="en-GB"/>
              </w:rPr>
              <w:t xml:space="preserve">EU risk assessment for DINP concluded that there is no need to limit the risks. Concerns were identified for potential hepatotoxicity in </w:t>
            </w:r>
            <w:proofErr w:type="spellStart"/>
            <w:r w:rsidRPr="002D4754">
              <w:rPr>
                <w:rFonts w:ascii="Verdana" w:hAnsi="Verdana"/>
                <w:sz w:val="16"/>
                <w:szCs w:val="16"/>
                <w:lang w:val="en-GB" w:eastAsia="en-GB"/>
              </w:rPr>
              <w:t>newborns</w:t>
            </w:r>
            <w:proofErr w:type="spellEnd"/>
            <w:r w:rsidRPr="002D4754">
              <w:rPr>
                <w:rFonts w:ascii="Verdana" w:hAnsi="Verdana"/>
                <w:sz w:val="16"/>
                <w:szCs w:val="16"/>
                <w:lang w:val="en-GB" w:eastAsia="en-GB"/>
              </w:rPr>
              <w:t xml:space="preserve"> and infants due to the presence of DIDP in toys. Another phthalate, DEHP, is </w:t>
            </w:r>
            <w:r w:rsidR="00AF74D5" w:rsidRPr="002D4754">
              <w:rPr>
                <w:rFonts w:ascii="Verdana" w:hAnsi="Verdana"/>
                <w:sz w:val="16"/>
                <w:szCs w:val="16"/>
                <w:lang w:val="en-GB" w:eastAsia="en-GB"/>
              </w:rPr>
              <w:t>a SVHC on Annex XIV of REACH and subject to Authorisation and Restriction.</w:t>
            </w:r>
          </w:p>
        </w:tc>
        <w:tc>
          <w:tcPr>
            <w:tcW w:w="5751" w:type="dxa"/>
            <w:shd w:val="clear" w:color="auto" w:fill="auto"/>
          </w:tcPr>
          <w:p w14:paraId="0EB69B3E" w14:textId="7D3C82EC" w:rsidR="00EA772F" w:rsidRPr="002D4754" w:rsidRDefault="00EA772F" w:rsidP="004C6F64">
            <w:pPr>
              <w:spacing w:after="0"/>
              <w:jc w:val="both"/>
              <w:rPr>
                <w:rFonts w:ascii="Verdana" w:hAnsi="Verdana"/>
                <w:sz w:val="16"/>
                <w:szCs w:val="16"/>
                <w:lang w:val="en-GB" w:eastAsia="en-GB"/>
              </w:rPr>
            </w:pPr>
            <w:r w:rsidRPr="002D4754">
              <w:rPr>
                <w:rFonts w:ascii="Verdana" w:hAnsi="Verdana"/>
                <w:sz w:val="16"/>
                <w:szCs w:val="16"/>
                <w:lang w:val="en-GB" w:eastAsia="en-GB"/>
              </w:rPr>
              <w:t xml:space="preserve">Phthalates are effective plasticisers and have equivalent or superior properties to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but are more expensive and are not suitable where high fire resistance is required. In the case of </w:t>
            </w:r>
            <w:r w:rsidR="004C6F64">
              <w:rPr>
                <w:rFonts w:ascii="Verdana" w:hAnsi="Verdana"/>
                <w:sz w:val="16"/>
                <w:szCs w:val="16"/>
                <w:lang w:val="en-GB" w:eastAsia="en-GB"/>
              </w:rPr>
              <w:t xml:space="preserve">standard </w:t>
            </w:r>
            <w:r w:rsidRPr="002D4754">
              <w:rPr>
                <w:rFonts w:ascii="Verdana" w:hAnsi="Verdana"/>
                <w:sz w:val="16"/>
                <w:szCs w:val="16"/>
                <w:lang w:val="en-GB" w:eastAsia="en-GB"/>
              </w:rPr>
              <w:t xml:space="preserve">wallcoverings, relevant flammability tests can be passed without the need for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or other fire retardants. However, </w:t>
            </w:r>
            <w:r w:rsidR="004C6F64">
              <w:rPr>
                <w:rFonts w:ascii="Verdana" w:hAnsi="Verdana"/>
                <w:sz w:val="16"/>
                <w:szCs w:val="16"/>
                <w:lang w:val="en-GB" w:eastAsia="en-GB"/>
              </w:rPr>
              <w:t>this may not be the case for heavy duty wall coverings (conforming to EN259). I</w:t>
            </w:r>
            <w:r w:rsidRPr="002D4754">
              <w:rPr>
                <w:rFonts w:ascii="Verdana" w:hAnsi="Verdana"/>
                <w:sz w:val="16"/>
                <w:szCs w:val="16"/>
                <w:lang w:val="en-GB" w:eastAsia="en-GB"/>
              </w:rPr>
              <w:t xml:space="preserve">t may be necessary to add an alternative flame retardant such as antimony trioxide or aluminium </w:t>
            </w:r>
            <w:proofErr w:type="spellStart"/>
            <w:r w:rsidRPr="002D4754">
              <w:rPr>
                <w:rFonts w:ascii="Verdana" w:hAnsi="Verdana"/>
                <w:sz w:val="16"/>
                <w:szCs w:val="16"/>
                <w:lang w:val="en-GB" w:eastAsia="en-GB"/>
              </w:rPr>
              <w:t>trihydrate</w:t>
            </w:r>
            <w:proofErr w:type="spellEnd"/>
            <w:r w:rsidRPr="002D4754">
              <w:rPr>
                <w:rFonts w:ascii="Verdana" w:hAnsi="Verdana"/>
                <w:sz w:val="16"/>
                <w:szCs w:val="16"/>
                <w:lang w:val="en-GB" w:eastAsia="en-GB"/>
              </w:rPr>
              <w:t xml:space="preserve"> to cable compounds for use in some applications.</w:t>
            </w:r>
          </w:p>
        </w:tc>
      </w:tr>
      <w:tr w:rsidR="00EA772F" w:rsidRPr="002D4754" w14:paraId="243D0F73" w14:textId="77777777" w:rsidTr="00D85444">
        <w:tc>
          <w:tcPr>
            <w:tcW w:w="2527" w:type="dxa"/>
            <w:vMerge/>
            <w:shd w:val="clear" w:color="auto" w:fill="auto"/>
          </w:tcPr>
          <w:p w14:paraId="369E60EB" w14:textId="77777777" w:rsidR="00EA772F" w:rsidRPr="002D4754" w:rsidRDefault="00EA772F" w:rsidP="00EA772F">
            <w:pPr>
              <w:spacing w:after="0"/>
              <w:jc w:val="both"/>
              <w:rPr>
                <w:rFonts w:ascii="Verdana" w:hAnsi="Verdana"/>
                <w:sz w:val="16"/>
                <w:szCs w:val="16"/>
                <w:lang w:val="en-GB" w:eastAsia="en-GB"/>
              </w:rPr>
            </w:pPr>
          </w:p>
        </w:tc>
        <w:tc>
          <w:tcPr>
            <w:tcW w:w="2268" w:type="dxa"/>
            <w:shd w:val="clear" w:color="auto" w:fill="auto"/>
          </w:tcPr>
          <w:p w14:paraId="74F8DCAD" w14:textId="0C8C166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Inorganic compounds (e.g. aluminium hydroxide, </w:t>
            </w:r>
            <w:r w:rsidR="00AF3CB0" w:rsidRPr="002D4754">
              <w:rPr>
                <w:rFonts w:ascii="Verdana" w:hAnsi="Verdana"/>
                <w:sz w:val="16"/>
                <w:szCs w:val="16"/>
                <w:lang w:val="en-GB" w:eastAsia="en-GB"/>
              </w:rPr>
              <w:t>aluminium</w:t>
            </w:r>
            <w:r w:rsidRPr="002D4754">
              <w:rPr>
                <w:rFonts w:ascii="Verdana" w:hAnsi="Verdana"/>
                <w:sz w:val="16"/>
                <w:szCs w:val="16"/>
                <w:lang w:val="en-GB" w:eastAsia="en-GB"/>
              </w:rPr>
              <w:t xml:space="preserve"> polyphosphate)</w:t>
            </w:r>
          </w:p>
          <w:p w14:paraId="0A36D9BA" w14:textId="77777777" w:rsidR="00EA772F" w:rsidRPr="002D4754" w:rsidRDefault="00EA772F" w:rsidP="00EA772F">
            <w:pPr>
              <w:spacing w:after="0"/>
              <w:jc w:val="both"/>
              <w:rPr>
                <w:rFonts w:ascii="Verdana" w:hAnsi="Verdana"/>
                <w:sz w:val="16"/>
                <w:szCs w:val="16"/>
                <w:lang w:val="en-GB" w:eastAsia="en-GB"/>
              </w:rPr>
            </w:pPr>
          </w:p>
          <w:p w14:paraId="754B783A" w14:textId="77777777" w:rsidR="00EA772F" w:rsidRPr="002D4754" w:rsidRDefault="00EA772F" w:rsidP="00EA772F">
            <w:pPr>
              <w:spacing w:after="0"/>
              <w:jc w:val="both"/>
              <w:rPr>
                <w:rFonts w:ascii="Verdana" w:hAnsi="Verdana"/>
                <w:sz w:val="16"/>
                <w:szCs w:val="16"/>
                <w:lang w:val="en-GB" w:eastAsia="en-GB"/>
              </w:rPr>
            </w:pPr>
          </w:p>
        </w:tc>
        <w:tc>
          <w:tcPr>
            <w:tcW w:w="4394" w:type="dxa"/>
            <w:shd w:val="clear" w:color="auto" w:fill="auto"/>
          </w:tcPr>
          <w:p w14:paraId="6B504A18" w14:textId="7C74BCA2"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Although a detailed assessment has not been performed for this analysis, inorganic compounds are expected to pose lower risks than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w:t>
            </w:r>
          </w:p>
        </w:tc>
        <w:tc>
          <w:tcPr>
            <w:tcW w:w="5751" w:type="dxa"/>
            <w:shd w:val="clear" w:color="auto" w:fill="auto"/>
          </w:tcPr>
          <w:p w14:paraId="023772D5" w14:textId="195AD1AA"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Inorganic compounds provide flame </w:t>
            </w:r>
            <w:proofErr w:type="spellStart"/>
            <w:r w:rsidRPr="002D4754">
              <w:rPr>
                <w:rFonts w:ascii="Verdana" w:hAnsi="Verdana"/>
                <w:sz w:val="16"/>
                <w:szCs w:val="16"/>
                <w:lang w:val="en-GB" w:eastAsia="en-GB"/>
              </w:rPr>
              <w:t>retardancy</w:t>
            </w:r>
            <w:proofErr w:type="spellEnd"/>
            <w:r w:rsidRPr="002D4754">
              <w:rPr>
                <w:rFonts w:ascii="Verdana" w:hAnsi="Verdana"/>
                <w:sz w:val="16"/>
                <w:szCs w:val="16"/>
                <w:lang w:val="en-GB" w:eastAsia="en-GB"/>
              </w:rPr>
              <w:t xml:space="preserve"> but do not impart any plasticising effects. More information is needed to determine whether there are any technical barriers </w:t>
            </w:r>
            <w:r w:rsidR="00115499">
              <w:rPr>
                <w:rFonts w:ascii="Verdana" w:hAnsi="Verdana"/>
                <w:sz w:val="16"/>
                <w:szCs w:val="16"/>
                <w:lang w:val="en-GB" w:eastAsia="en-GB"/>
              </w:rPr>
              <w:t xml:space="preserve">(e.g. viscosity constraints) </w:t>
            </w:r>
            <w:r w:rsidRPr="002D4754">
              <w:rPr>
                <w:rFonts w:ascii="Verdana" w:hAnsi="Verdana"/>
                <w:sz w:val="16"/>
                <w:szCs w:val="16"/>
                <w:lang w:val="en-GB" w:eastAsia="en-GB"/>
              </w:rPr>
              <w:t xml:space="preserve">to the use of inorganic compounds as substitutes for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and the range of applications in which these compounds may be used. </w:t>
            </w:r>
          </w:p>
        </w:tc>
      </w:tr>
      <w:tr w:rsidR="00EA772F" w:rsidRPr="002D4754" w14:paraId="25BFFDAA" w14:textId="77777777" w:rsidTr="00D85444">
        <w:tc>
          <w:tcPr>
            <w:tcW w:w="2527" w:type="dxa"/>
            <w:vMerge/>
            <w:shd w:val="clear" w:color="auto" w:fill="auto"/>
          </w:tcPr>
          <w:p w14:paraId="55867FDA" w14:textId="77777777" w:rsidR="00EA772F" w:rsidRPr="002D4754" w:rsidRDefault="00EA772F" w:rsidP="00EA772F">
            <w:pPr>
              <w:spacing w:after="0"/>
              <w:jc w:val="both"/>
              <w:rPr>
                <w:rFonts w:ascii="Verdana" w:hAnsi="Verdana"/>
                <w:sz w:val="16"/>
                <w:szCs w:val="16"/>
                <w:lang w:val="en-GB" w:eastAsia="en-GB"/>
              </w:rPr>
            </w:pPr>
          </w:p>
        </w:tc>
        <w:tc>
          <w:tcPr>
            <w:tcW w:w="2268" w:type="dxa"/>
            <w:shd w:val="clear" w:color="auto" w:fill="auto"/>
          </w:tcPr>
          <w:p w14:paraId="23E3AD35" w14:textId="77777777" w:rsidR="00EA772F" w:rsidRPr="002D4754" w:rsidRDefault="00EA772F" w:rsidP="00EA772F">
            <w:pPr>
              <w:spacing w:after="0"/>
              <w:jc w:val="both"/>
              <w:rPr>
                <w:rFonts w:ascii="Verdana" w:hAnsi="Verdana"/>
                <w:color w:val="000000"/>
                <w:sz w:val="16"/>
                <w:szCs w:val="16"/>
                <w:lang w:val="en-GB" w:eastAsia="en-GB"/>
              </w:rPr>
            </w:pPr>
            <w:r w:rsidRPr="002D4754">
              <w:rPr>
                <w:rFonts w:ascii="Verdana" w:hAnsi="Verdana"/>
                <w:sz w:val="16"/>
                <w:szCs w:val="16"/>
                <w:lang w:val="en-GB" w:eastAsia="en-GB"/>
              </w:rPr>
              <w:t xml:space="preserve">Phosphate esters (tri-alkyl phosphates and aryl phosphates e.g. </w:t>
            </w:r>
            <w:proofErr w:type="spellStart"/>
            <w:r w:rsidRPr="002D4754">
              <w:rPr>
                <w:rFonts w:ascii="Verdana" w:hAnsi="Verdana"/>
                <w:sz w:val="16"/>
                <w:szCs w:val="16"/>
                <w:lang w:val="en-GB" w:eastAsia="en-GB"/>
              </w:rPr>
              <w:t>tricresyl</w:t>
            </w:r>
            <w:proofErr w:type="spellEnd"/>
            <w:r w:rsidRPr="002D4754">
              <w:rPr>
                <w:rFonts w:ascii="Verdana" w:hAnsi="Verdana"/>
                <w:sz w:val="16"/>
                <w:szCs w:val="16"/>
                <w:lang w:val="en-GB" w:eastAsia="en-GB"/>
              </w:rPr>
              <w:t xml:space="preserve"> phosphate) have been identified as potential </w:t>
            </w:r>
            <w:r w:rsidRPr="002D4754">
              <w:rPr>
                <w:rFonts w:ascii="Verdana" w:hAnsi="Verdana"/>
                <w:sz w:val="16"/>
                <w:szCs w:val="16"/>
                <w:lang w:val="en-GB" w:eastAsia="en-GB"/>
              </w:rPr>
              <w:lastRenderedPageBreak/>
              <w:t>alternatives for flooring, cables and coated fabrics</w:t>
            </w:r>
            <w:r w:rsidRPr="002D4754">
              <w:rPr>
                <w:rFonts w:ascii="Verdana" w:hAnsi="Verdana"/>
                <w:color w:val="000000"/>
                <w:sz w:val="16"/>
                <w:szCs w:val="16"/>
                <w:lang w:val="en-GB" w:eastAsia="en-GB"/>
              </w:rPr>
              <w:t xml:space="preserve">. May be used in combination with solid flame retardants such as borates. </w:t>
            </w:r>
          </w:p>
        </w:tc>
        <w:tc>
          <w:tcPr>
            <w:tcW w:w="4394" w:type="dxa"/>
            <w:shd w:val="clear" w:color="auto" w:fill="auto"/>
          </w:tcPr>
          <w:p w14:paraId="70788A04" w14:textId="00A8C46C" w:rsidR="00EA772F" w:rsidRPr="002D4754" w:rsidRDefault="00EA772F" w:rsidP="000354E4">
            <w:pPr>
              <w:spacing w:after="0"/>
              <w:jc w:val="both"/>
              <w:rPr>
                <w:rFonts w:ascii="Verdana" w:hAnsi="Verdana"/>
                <w:sz w:val="16"/>
                <w:szCs w:val="16"/>
                <w:lang w:val="en-GB" w:eastAsia="en-GB"/>
              </w:rPr>
            </w:pPr>
            <w:r w:rsidRPr="002D4754">
              <w:rPr>
                <w:rFonts w:ascii="Verdana" w:hAnsi="Verdana"/>
                <w:sz w:val="16"/>
                <w:szCs w:val="16"/>
                <w:lang w:val="en-GB" w:eastAsia="en-GB"/>
              </w:rPr>
              <w:lastRenderedPageBreak/>
              <w:t xml:space="preserve">The UK CA has assessed environmental risks from a number of aryl phosphates, and screened the environmental hazards of a number of tri-alkyl phosphates. Although some aryl phosphate esters may possess PBT properties, in general, these types </w:t>
            </w:r>
            <w:r w:rsidRPr="002D4754">
              <w:rPr>
                <w:rFonts w:ascii="Verdana" w:hAnsi="Verdana"/>
                <w:sz w:val="16"/>
                <w:szCs w:val="16"/>
                <w:lang w:val="en-GB" w:eastAsia="en-GB"/>
              </w:rPr>
              <w:lastRenderedPageBreak/>
              <w:t xml:space="preserve">of substance do not appear to have PBT properties (though some are, like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very toxic to aquatic organisms). A more detailed evaluation is necessary to make side by side comparisons with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w:t>
            </w:r>
          </w:p>
        </w:tc>
        <w:tc>
          <w:tcPr>
            <w:tcW w:w="5751" w:type="dxa"/>
            <w:shd w:val="clear" w:color="auto" w:fill="auto"/>
          </w:tcPr>
          <w:p w14:paraId="5B53AB65"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lastRenderedPageBreak/>
              <w:t xml:space="preserve">Phosphate esters can be used where there is a need for fire </w:t>
            </w:r>
            <w:proofErr w:type="spellStart"/>
            <w:r w:rsidRPr="002D4754">
              <w:rPr>
                <w:rFonts w:ascii="Verdana" w:hAnsi="Verdana"/>
                <w:sz w:val="16"/>
                <w:szCs w:val="16"/>
                <w:lang w:val="en-GB" w:eastAsia="en-GB"/>
              </w:rPr>
              <w:t>retardancy</w:t>
            </w:r>
            <w:proofErr w:type="spellEnd"/>
            <w:r w:rsidRPr="002D4754">
              <w:rPr>
                <w:rFonts w:ascii="Verdana" w:hAnsi="Verdana"/>
                <w:sz w:val="16"/>
                <w:szCs w:val="16"/>
                <w:lang w:val="en-GB" w:eastAsia="en-GB"/>
              </w:rPr>
              <w:t xml:space="preserve">. This would require modification of the formulation but would also improve processing and compatibility of composition. Some may have inferior performance in use or may cause discolouration to finished product. </w:t>
            </w:r>
          </w:p>
          <w:p w14:paraId="33E329EB" w14:textId="77777777" w:rsidR="00EA772F" w:rsidRPr="002D4754" w:rsidRDefault="00EA772F" w:rsidP="00EA772F">
            <w:pPr>
              <w:spacing w:after="0"/>
              <w:jc w:val="both"/>
              <w:rPr>
                <w:rFonts w:ascii="Verdana" w:hAnsi="Verdana"/>
                <w:sz w:val="16"/>
                <w:szCs w:val="16"/>
                <w:lang w:val="en-GB" w:eastAsia="en-GB"/>
              </w:rPr>
            </w:pPr>
          </w:p>
          <w:p w14:paraId="2CCBE940" w14:textId="65841044" w:rsidR="00EA772F" w:rsidRPr="002D4754" w:rsidRDefault="00EA772F" w:rsidP="000354E4">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transition dossier states that phosphate esters are around 4 times the cost of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w:t>
            </w:r>
          </w:p>
        </w:tc>
      </w:tr>
      <w:tr w:rsidR="00EA772F" w:rsidRPr="002D4754" w14:paraId="4A730793" w14:textId="77777777" w:rsidTr="00EF4977">
        <w:tc>
          <w:tcPr>
            <w:tcW w:w="14940" w:type="dxa"/>
            <w:gridSpan w:val="4"/>
            <w:shd w:val="clear" w:color="auto" w:fill="C0C0C0"/>
          </w:tcPr>
          <w:p w14:paraId="51732C30"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b/>
                <w:sz w:val="16"/>
                <w:szCs w:val="16"/>
                <w:lang w:val="en-GB" w:eastAsia="en-GB"/>
              </w:rPr>
              <w:lastRenderedPageBreak/>
              <w:t>Metalworking/cutting</w:t>
            </w:r>
          </w:p>
        </w:tc>
      </w:tr>
      <w:tr w:rsidR="00EA772F" w:rsidRPr="002D4754" w14:paraId="588255B8" w14:textId="77777777" w:rsidTr="00D85444">
        <w:tc>
          <w:tcPr>
            <w:tcW w:w="2527" w:type="dxa"/>
            <w:vMerge w:val="restart"/>
            <w:shd w:val="clear" w:color="auto" w:fill="auto"/>
          </w:tcPr>
          <w:p w14:paraId="39F67FF3" w14:textId="1670E0EA" w:rsidR="00EA772F" w:rsidRPr="002D4754" w:rsidRDefault="000578F2" w:rsidP="00EA772F">
            <w:pPr>
              <w:spacing w:after="0"/>
              <w:jc w:val="both"/>
              <w:rPr>
                <w:rFonts w:ascii="Verdana" w:hAnsi="Verdana"/>
                <w:sz w:val="16"/>
                <w:szCs w:val="16"/>
                <w:lang w:val="en-GB" w:eastAsia="en-GB"/>
              </w:rPr>
            </w:pPr>
            <w:r w:rsidRPr="002D4754">
              <w:rPr>
                <w:rFonts w:ascii="Verdana" w:hAnsi="Verdana"/>
                <w:sz w:val="16"/>
                <w:szCs w:val="16"/>
                <w:lang w:val="en-GB" w:eastAsia="en-GB"/>
              </w:rPr>
              <w:t>MCCPs</w:t>
            </w:r>
            <w:r w:rsidR="00EA772F" w:rsidRPr="002D4754">
              <w:rPr>
                <w:rFonts w:ascii="Verdana" w:hAnsi="Verdana"/>
                <w:sz w:val="16"/>
                <w:szCs w:val="16"/>
                <w:lang w:val="en-GB" w:eastAsia="en-GB"/>
              </w:rPr>
              <w:t xml:space="preserve"> may be present in oil based and water based metalworking fluid formulations for use in cutting, grinding and forming operations. </w:t>
            </w:r>
          </w:p>
          <w:p w14:paraId="4097562F" w14:textId="77777777" w:rsidR="00EA772F" w:rsidRPr="002D4754" w:rsidRDefault="00EA772F" w:rsidP="00EA772F">
            <w:pPr>
              <w:spacing w:after="0"/>
              <w:jc w:val="both"/>
              <w:rPr>
                <w:rFonts w:ascii="Verdana" w:hAnsi="Verdana"/>
                <w:sz w:val="16"/>
                <w:szCs w:val="16"/>
                <w:lang w:val="en-GB" w:eastAsia="en-GB"/>
              </w:rPr>
            </w:pPr>
          </w:p>
          <w:p w14:paraId="08D218CD" w14:textId="037138A5"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Replacement of chlorinated paraffins in metal working lubricants for cutting processes of ordinary steel, copper, brass and less demanding metal forming operations has generally been successful. However, it is reportedly difficult to find substitutes for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in certain arduous applications such as chip-less processing of stainless steel and titanium and applications requiring the use of extreme temperatures and pressures e.g. </w:t>
            </w:r>
            <w:proofErr w:type="spellStart"/>
            <w:r w:rsidRPr="002D4754">
              <w:rPr>
                <w:rFonts w:ascii="Verdana" w:hAnsi="Verdana"/>
                <w:sz w:val="16"/>
                <w:szCs w:val="16"/>
                <w:lang w:val="en-GB" w:eastAsia="en-GB"/>
              </w:rPr>
              <w:t>pilgering</w:t>
            </w:r>
            <w:proofErr w:type="spellEnd"/>
            <w:r w:rsidRPr="002D4754">
              <w:rPr>
                <w:rFonts w:ascii="Verdana" w:hAnsi="Verdana"/>
                <w:sz w:val="16"/>
                <w:szCs w:val="16"/>
                <w:lang w:val="en-GB" w:eastAsia="en-GB"/>
              </w:rPr>
              <w:t xml:space="preserve"> and deep drawing. </w:t>
            </w:r>
          </w:p>
          <w:p w14:paraId="7F0E2E23" w14:textId="77777777" w:rsidR="00EA772F" w:rsidRPr="002D4754" w:rsidRDefault="00EA772F" w:rsidP="00EA772F">
            <w:pPr>
              <w:spacing w:after="0"/>
              <w:jc w:val="both"/>
              <w:rPr>
                <w:rFonts w:ascii="Verdana" w:hAnsi="Verdana"/>
                <w:sz w:val="16"/>
                <w:szCs w:val="16"/>
                <w:lang w:val="en-GB" w:eastAsia="en-GB"/>
              </w:rPr>
            </w:pPr>
          </w:p>
          <w:p w14:paraId="5E0CE15C" w14:textId="6A3D3BCF"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Substitution may have significant costs attached (including R&amp;D). </w:t>
            </w:r>
          </w:p>
          <w:p w14:paraId="2F2E6EF3" w14:textId="77777777" w:rsidR="00EA772F" w:rsidRPr="002D4754" w:rsidRDefault="00EA772F" w:rsidP="00EA772F">
            <w:pPr>
              <w:spacing w:after="0"/>
              <w:jc w:val="both"/>
              <w:rPr>
                <w:rFonts w:ascii="Verdana" w:hAnsi="Verdana"/>
                <w:sz w:val="16"/>
                <w:szCs w:val="16"/>
                <w:lang w:val="en-GB" w:eastAsia="en-GB"/>
              </w:rPr>
            </w:pPr>
          </w:p>
          <w:p w14:paraId="236322AA" w14:textId="161B02D3" w:rsidR="00EA772F" w:rsidRPr="002D4754" w:rsidRDefault="00EA772F" w:rsidP="000354E4">
            <w:pPr>
              <w:spacing w:after="0"/>
              <w:jc w:val="both"/>
              <w:rPr>
                <w:rFonts w:ascii="Verdana" w:hAnsi="Verdana"/>
                <w:sz w:val="16"/>
                <w:szCs w:val="16"/>
                <w:lang w:val="en-GB" w:eastAsia="en-GB"/>
              </w:rPr>
            </w:pPr>
            <w:r w:rsidRPr="002D4754">
              <w:rPr>
                <w:rFonts w:ascii="Verdana" w:hAnsi="Verdana"/>
                <w:sz w:val="16"/>
                <w:szCs w:val="16"/>
                <w:lang w:val="en-GB" w:eastAsia="en-GB"/>
              </w:rPr>
              <w:t xml:space="preserve">Replacement of chlorinated paraffins will require extensive reformulation of </w:t>
            </w:r>
            <w:r w:rsidRPr="002D4754">
              <w:rPr>
                <w:rFonts w:ascii="Verdana" w:hAnsi="Verdana"/>
                <w:sz w:val="16"/>
                <w:szCs w:val="16"/>
                <w:lang w:val="en-GB" w:eastAsia="en-GB"/>
              </w:rPr>
              <w:lastRenderedPageBreak/>
              <w:t xml:space="preserve">the lubricant system. Alternatives to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may lead to increased energy consumption. Without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there is a high risk of cracks and other instabilities in the end product.</w:t>
            </w:r>
          </w:p>
        </w:tc>
        <w:tc>
          <w:tcPr>
            <w:tcW w:w="2268" w:type="dxa"/>
            <w:shd w:val="clear" w:color="auto" w:fill="auto"/>
          </w:tcPr>
          <w:p w14:paraId="2D35AB0D" w14:textId="2A04480E" w:rsidR="00EA772F" w:rsidRPr="002D4754" w:rsidRDefault="00EA772F" w:rsidP="00EA772F">
            <w:pPr>
              <w:spacing w:after="0"/>
              <w:jc w:val="both"/>
              <w:rPr>
                <w:rFonts w:ascii="Verdana" w:hAnsi="Verdana"/>
                <w:sz w:val="16"/>
                <w:szCs w:val="16"/>
                <w:lang w:val="en-GB" w:eastAsia="en-GB"/>
              </w:rPr>
            </w:pPr>
            <w:proofErr w:type="spellStart"/>
            <w:r w:rsidRPr="002D4754">
              <w:rPr>
                <w:rFonts w:ascii="Verdana" w:hAnsi="Verdana"/>
                <w:sz w:val="16"/>
                <w:szCs w:val="16"/>
                <w:lang w:val="en-GB" w:eastAsia="en-GB"/>
              </w:rPr>
              <w:lastRenderedPageBreak/>
              <w:t>Poly</w:t>
            </w:r>
            <w:r w:rsidR="00367D7E" w:rsidRPr="002D4754">
              <w:rPr>
                <w:rFonts w:ascii="Verdana" w:hAnsi="Verdana"/>
                <w:sz w:val="16"/>
                <w:szCs w:val="16"/>
                <w:lang w:val="en-GB" w:eastAsia="en-GB"/>
              </w:rPr>
              <w:t>sulf</w:t>
            </w:r>
            <w:r w:rsidRPr="002D4754">
              <w:rPr>
                <w:rFonts w:ascii="Verdana" w:hAnsi="Verdana"/>
                <w:sz w:val="16"/>
                <w:szCs w:val="16"/>
                <w:lang w:val="en-GB" w:eastAsia="en-GB"/>
              </w:rPr>
              <w:t>ides</w:t>
            </w:r>
            <w:proofErr w:type="spellEnd"/>
            <w:r w:rsidRPr="002D4754">
              <w:rPr>
                <w:rFonts w:ascii="Verdana" w:hAnsi="Verdana"/>
                <w:sz w:val="16"/>
                <w:szCs w:val="16"/>
                <w:lang w:val="en-GB" w:eastAsia="en-GB"/>
              </w:rPr>
              <w:t xml:space="preserve"> (e.g. di-(</w:t>
            </w:r>
            <w:proofErr w:type="spellStart"/>
            <w:r w:rsidRPr="002D4754">
              <w:rPr>
                <w:rFonts w:ascii="Verdana" w:hAnsi="Verdana"/>
                <w:sz w:val="16"/>
                <w:szCs w:val="16"/>
                <w:lang w:val="en-GB" w:eastAsia="en-GB"/>
              </w:rPr>
              <w:t>tert-nonyl</w:t>
            </w:r>
            <w:proofErr w:type="spellEnd"/>
            <w:r w:rsidRPr="002D4754">
              <w:rPr>
                <w:rFonts w:ascii="Verdana" w:hAnsi="Verdana"/>
                <w:sz w:val="16"/>
                <w:szCs w:val="16"/>
                <w:lang w:val="en-GB" w:eastAsia="en-GB"/>
              </w:rPr>
              <w:t>) and di-(</w:t>
            </w:r>
            <w:proofErr w:type="spellStart"/>
            <w:r w:rsidRPr="002D4754">
              <w:rPr>
                <w:rFonts w:ascii="Verdana" w:hAnsi="Verdana"/>
                <w:sz w:val="16"/>
                <w:szCs w:val="16"/>
                <w:lang w:val="en-GB" w:eastAsia="en-GB"/>
              </w:rPr>
              <w:t>tert</w:t>
            </w:r>
            <w:proofErr w:type="spellEnd"/>
            <w:r w:rsidRPr="002D4754">
              <w:rPr>
                <w:rFonts w:ascii="Verdana" w:hAnsi="Verdana"/>
                <w:sz w:val="16"/>
                <w:szCs w:val="16"/>
                <w:lang w:val="en-GB" w:eastAsia="en-GB"/>
              </w:rPr>
              <w:t xml:space="preserve"> dodecyl) </w:t>
            </w:r>
            <w:proofErr w:type="spellStart"/>
            <w:r w:rsidRPr="002D4754">
              <w:rPr>
                <w:rFonts w:ascii="Verdana" w:hAnsi="Verdana"/>
                <w:sz w:val="16"/>
                <w:szCs w:val="16"/>
                <w:lang w:val="en-GB" w:eastAsia="en-GB"/>
              </w:rPr>
              <w:t>poly</w:t>
            </w:r>
            <w:r w:rsidR="00367D7E" w:rsidRPr="002D4754">
              <w:rPr>
                <w:rFonts w:ascii="Verdana" w:hAnsi="Verdana"/>
                <w:sz w:val="16"/>
                <w:szCs w:val="16"/>
                <w:lang w:val="en-GB" w:eastAsia="en-GB"/>
              </w:rPr>
              <w:t>sulf</w:t>
            </w:r>
            <w:r w:rsidRPr="002D4754">
              <w:rPr>
                <w:rFonts w:ascii="Verdana" w:hAnsi="Verdana"/>
                <w:sz w:val="16"/>
                <w:szCs w:val="16"/>
                <w:lang w:val="en-GB" w:eastAsia="en-GB"/>
              </w:rPr>
              <w:t>ides</w:t>
            </w:r>
            <w:proofErr w:type="spellEnd"/>
            <w:r w:rsidRPr="002D4754">
              <w:rPr>
                <w:rFonts w:ascii="Verdana" w:hAnsi="Verdana"/>
                <w:sz w:val="16"/>
                <w:szCs w:val="16"/>
                <w:lang w:val="en-GB" w:eastAsia="en-GB"/>
              </w:rPr>
              <w:t xml:space="preserve">) and synthetic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urised</w:t>
            </w:r>
            <w:proofErr w:type="spellEnd"/>
            <w:r w:rsidRPr="002D4754">
              <w:rPr>
                <w:rFonts w:ascii="Verdana" w:hAnsi="Verdana"/>
                <w:sz w:val="16"/>
                <w:szCs w:val="16"/>
                <w:lang w:val="en-GB" w:eastAsia="en-GB"/>
              </w:rPr>
              <w:t xml:space="preserve"> esters.</w:t>
            </w:r>
          </w:p>
          <w:p w14:paraId="7EEFDCA6" w14:textId="77777777" w:rsidR="00EA772F" w:rsidRPr="002D4754" w:rsidRDefault="00EA772F" w:rsidP="00EA772F">
            <w:pPr>
              <w:spacing w:after="0"/>
              <w:jc w:val="both"/>
              <w:rPr>
                <w:rFonts w:ascii="Verdana" w:hAnsi="Verdana"/>
                <w:sz w:val="16"/>
                <w:szCs w:val="16"/>
                <w:lang w:val="en-GB" w:eastAsia="en-GB"/>
              </w:rPr>
            </w:pPr>
          </w:p>
          <w:p w14:paraId="52F0BEB8" w14:textId="6B5C7FFD" w:rsidR="00EA772F" w:rsidRPr="002D4754" w:rsidRDefault="00367D7E" w:rsidP="00EA772F">
            <w:pPr>
              <w:spacing w:after="0"/>
              <w:jc w:val="both"/>
              <w:rPr>
                <w:rFonts w:ascii="Verdana" w:hAnsi="Verdana"/>
                <w:sz w:val="16"/>
                <w:szCs w:val="16"/>
                <w:lang w:val="en-GB" w:eastAsia="en-GB"/>
              </w:rPr>
            </w:pPr>
            <w:proofErr w:type="spellStart"/>
            <w:r w:rsidRPr="002D4754">
              <w:rPr>
                <w:rFonts w:ascii="Verdana" w:hAnsi="Verdana"/>
                <w:sz w:val="16"/>
                <w:szCs w:val="16"/>
                <w:lang w:val="en-GB" w:eastAsia="en-GB"/>
              </w:rPr>
              <w:t>Sulf</w:t>
            </w:r>
            <w:r w:rsidR="00EA772F" w:rsidRPr="002D4754">
              <w:rPr>
                <w:rFonts w:ascii="Verdana" w:hAnsi="Verdana"/>
                <w:sz w:val="16"/>
                <w:szCs w:val="16"/>
                <w:lang w:val="en-GB" w:eastAsia="en-GB"/>
              </w:rPr>
              <w:t>ur</w:t>
            </w:r>
            <w:proofErr w:type="spellEnd"/>
            <w:r w:rsidR="00EA772F" w:rsidRPr="002D4754">
              <w:rPr>
                <w:rFonts w:ascii="Verdana" w:hAnsi="Verdana"/>
                <w:sz w:val="16"/>
                <w:szCs w:val="16"/>
                <w:lang w:val="en-GB" w:eastAsia="en-GB"/>
              </w:rPr>
              <w:t xml:space="preserve"> based additives. Includes esters, fatty compounds and </w:t>
            </w:r>
            <w:proofErr w:type="spellStart"/>
            <w:r w:rsidR="00EA772F" w:rsidRPr="002D4754">
              <w:rPr>
                <w:rFonts w:ascii="Verdana" w:hAnsi="Verdana"/>
                <w:sz w:val="16"/>
                <w:szCs w:val="16"/>
                <w:lang w:val="en-GB" w:eastAsia="en-GB"/>
              </w:rPr>
              <w:t>poly</w:t>
            </w:r>
            <w:r w:rsidRPr="002D4754">
              <w:rPr>
                <w:rFonts w:ascii="Verdana" w:hAnsi="Verdana"/>
                <w:sz w:val="16"/>
                <w:szCs w:val="16"/>
                <w:lang w:val="en-GB" w:eastAsia="en-GB"/>
              </w:rPr>
              <w:t>sulf</w:t>
            </w:r>
            <w:r w:rsidR="00EA772F" w:rsidRPr="002D4754">
              <w:rPr>
                <w:rFonts w:ascii="Verdana" w:hAnsi="Verdana"/>
                <w:sz w:val="16"/>
                <w:szCs w:val="16"/>
                <w:lang w:val="en-GB" w:eastAsia="en-GB"/>
              </w:rPr>
              <w:t>ides</w:t>
            </w:r>
            <w:proofErr w:type="spellEnd"/>
            <w:r w:rsidR="00EA772F" w:rsidRPr="002D4754">
              <w:rPr>
                <w:rFonts w:ascii="Verdana" w:hAnsi="Verdana"/>
                <w:sz w:val="16"/>
                <w:szCs w:val="16"/>
                <w:lang w:val="en-GB" w:eastAsia="en-GB"/>
              </w:rPr>
              <w:t>.</w:t>
            </w:r>
          </w:p>
        </w:tc>
        <w:tc>
          <w:tcPr>
            <w:tcW w:w="4394" w:type="dxa"/>
            <w:shd w:val="clear" w:color="auto" w:fill="auto"/>
          </w:tcPr>
          <w:p w14:paraId="78D180C4" w14:textId="477F7C2D"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This group includes substances that may have adverse health and environmental properties. A preliminary assessment by the Environment Agency in the UK identified high PEC/PNEC ratios and possible PBT properties for </w:t>
            </w:r>
            <w:proofErr w:type="spellStart"/>
            <w:r w:rsidRPr="002D4754">
              <w:rPr>
                <w:rFonts w:ascii="Verdana" w:hAnsi="Verdana"/>
                <w:sz w:val="16"/>
                <w:szCs w:val="16"/>
                <w:lang w:val="en-GB" w:eastAsia="en-GB"/>
              </w:rPr>
              <w:t>poly</w:t>
            </w:r>
            <w:r w:rsidR="00367D7E" w:rsidRPr="002D4754">
              <w:rPr>
                <w:rFonts w:ascii="Verdana" w:hAnsi="Verdana"/>
                <w:sz w:val="16"/>
                <w:szCs w:val="16"/>
                <w:lang w:val="en-GB" w:eastAsia="en-GB"/>
              </w:rPr>
              <w:t>sulf</w:t>
            </w:r>
            <w:r w:rsidRPr="002D4754">
              <w:rPr>
                <w:rFonts w:ascii="Verdana" w:hAnsi="Verdana"/>
                <w:sz w:val="16"/>
                <w:szCs w:val="16"/>
                <w:lang w:val="en-GB" w:eastAsia="en-GB"/>
              </w:rPr>
              <w:t>ides</w:t>
            </w:r>
            <w:proofErr w:type="spellEnd"/>
            <w:r w:rsidRPr="002D4754">
              <w:rPr>
                <w:rFonts w:ascii="Verdana" w:hAnsi="Verdana"/>
                <w:sz w:val="16"/>
                <w:szCs w:val="16"/>
                <w:lang w:val="en-GB" w:eastAsia="en-GB"/>
              </w:rPr>
              <w:t xml:space="preserve"> (EA, 2008). </w:t>
            </w:r>
          </w:p>
          <w:p w14:paraId="1845DCF0" w14:textId="77777777" w:rsidR="00EA772F" w:rsidRPr="002D4754" w:rsidRDefault="00EA772F" w:rsidP="00EA772F">
            <w:pPr>
              <w:spacing w:after="0"/>
              <w:jc w:val="both"/>
              <w:rPr>
                <w:rFonts w:ascii="Verdana" w:hAnsi="Verdana"/>
                <w:sz w:val="16"/>
                <w:szCs w:val="16"/>
                <w:lang w:val="en-GB" w:eastAsia="en-GB"/>
              </w:rPr>
            </w:pPr>
          </w:p>
          <w:p w14:paraId="4B398EDF" w14:textId="2199FDC3" w:rsidR="00EA772F" w:rsidRPr="002D4754" w:rsidRDefault="00EA772F" w:rsidP="00EA772F">
            <w:pPr>
              <w:spacing w:after="0"/>
              <w:jc w:val="both"/>
              <w:rPr>
                <w:rFonts w:ascii="Verdana" w:hAnsi="Verdana"/>
                <w:sz w:val="16"/>
                <w:szCs w:val="16"/>
                <w:lang w:val="en-GB" w:eastAsia="en-GB"/>
              </w:rPr>
            </w:pPr>
            <w:bookmarkStart w:id="34" w:name="OLE_LINK4"/>
            <w:bookmarkStart w:id="35" w:name="OLE_LINK5"/>
            <w:r w:rsidRPr="002D4754">
              <w:rPr>
                <w:rFonts w:ascii="Verdana" w:hAnsi="Verdana"/>
                <w:sz w:val="16"/>
                <w:szCs w:val="16"/>
                <w:lang w:val="en-GB" w:eastAsia="en-GB"/>
              </w:rPr>
              <w:t>The UK CA does not have any information on the human health and environmental hazards of</w:t>
            </w:r>
            <w:bookmarkEnd w:id="34"/>
            <w:bookmarkEnd w:id="35"/>
            <w:r w:rsidRPr="002D4754">
              <w:rPr>
                <w:rFonts w:ascii="Verdana" w:hAnsi="Verdana"/>
                <w:sz w:val="16"/>
                <w:szCs w:val="16"/>
                <w:lang w:val="en-GB" w:eastAsia="en-GB"/>
              </w:rPr>
              <w:t xml:space="preserve"> synthetic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urised</w:t>
            </w:r>
            <w:proofErr w:type="spellEnd"/>
            <w:r w:rsidRPr="002D4754">
              <w:rPr>
                <w:rFonts w:ascii="Verdana" w:hAnsi="Verdana"/>
                <w:sz w:val="16"/>
                <w:szCs w:val="16"/>
                <w:lang w:val="en-GB" w:eastAsia="en-GB"/>
              </w:rPr>
              <w:t xml:space="preserve"> esters.</w:t>
            </w:r>
          </w:p>
        </w:tc>
        <w:tc>
          <w:tcPr>
            <w:tcW w:w="5751" w:type="dxa"/>
            <w:shd w:val="clear" w:color="auto" w:fill="auto"/>
          </w:tcPr>
          <w:p w14:paraId="7A2AD6E0" w14:textId="7C99ED51"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Suitability for high temperature applications may be an issue. Other technical limitations include the aggressiveness of these substances on yellow metals, the intense odour and dark colour. These issues may be addressed with synthetic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urised</w:t>
            </w:r>
            <w:proofErr w:type="spellEnd"/>
            <w:r w:rsidRPr="002D4754">
              <w:rPr>
                <w:rFonts w:ascii="Verdana" w:hAnsi="Verdana"/>
                <w:sz w:val="16"/>
                <w:szCs w:val="16"/>
                <w:lang w:val="en-GB" w:eastAsia="en-GB"/>
              </w:rPr>
              <w:t xml:space="preserve"> esters which are being developed but the UK does not have any specific information on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urised</w:t>
            </w:r>
            <w:proofErr w:type="spellEnd"/>
            <w:r w:rsidRPr="002D4754">
              <w:rPr>
                <w:rFonts w:ascii="Verdana" w:hAnsi="Verdana"/>
                <w:sz w:val="16"/>
                <w:szCs w:val="16"/>
                <w:lang w:val="en-GB" w:eastAsia="en-GB"/>
              </w:rPr>
              <w:t xml:space="preserve"> esters that could be used as substitutes at present. </w:t>
            </w:r>
          </w:p>
        </w:tc>
      </w:tr>
      <w:tr w:rsidR="00EA772F" w:rsidRPr="002D4754" w14:paraId="681F74B9" w14:textId="77777777" w:rsidTr="00D85444">
        <w:tc>
          <w:tcPr>
            <w:tcW w:w="2527" w:type="dxa"/>
            <w:vMerge/>
            <w:shd w:val="clear" w:color="auto" w:fill="auto"/>
          </w:tcPr>
          <w:p w14:paraId="1B1F67E9" w14:textId="77777777" w:rsidR="00EA772F" w:rsidRPr="002D4754" w:rsidRDefault="00EA772F" w:rsidP="00EA772F">
            <w:pPr>
              <w:spacing w:after="0"/>
              <w:rPr>
                <w:rFonts w:ascii="Verdana" w:hAnsi="Verdana"/>
                <w:sz w:val="16"/>
                <w:szCs w:val="16"/>
                <w:lang w:val="en-GB" w:eastAsia="en-GB"/>
              </w:rPr>
            </w:pPr>
          </w:p>
        </w:tc>
        <w:tc>
          <w:tcPr>
            <w:tcW w:w="2268" w:type="dxa"/>
            <w:tcBorders>
              <w:bottom w:val="single" w:sz="4" w:space="0" w:color="auto"/>
            </w:tcBorders>
            <w:shd w:val="clear" w:color="auto" w:fill="auto"/>
          </w:tcPr>
          <w:p w14:paraId="1EE216FC"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Phosphorus based compounds. Includes phosphate esters (mono-, di- and tri-ester compounds) also phosphates and phosphonates.</w:t>
            </w:r>
          </w:p>
        </w:tc>
        <w:tc>
          <w:tcPr>
            <w:tcW w:w="4394" w:type="dxa"/>
            <w:tcBorders>
              <w:bottom w:val="single" w:sz="4" w:space="0" w:color="auto"/>
            </w:tcBorders>
            <w:shd w:val="clear" w:color="auto" w:fill="auto"/>
          </w:tcPr>
          <w:p w14:paraId="62988402" w14:textId="59E34A31" w:rsidR="00EA772F" w:rsidRPr="002D4754" w:rsidRDefault="00EA772F" w:rsidP="000354E4">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UK CA has assessed environmental risks from a number of aryl phosphates, and screened the environmental hazards of a number of tri-alkyl phosphates. Although some aryl phosphate esters may possess PBT properties, in general, these types of substance do not appear to have PBT properties (though some are, like </w:t>
            </w:r>
            <w:r w:rsidR="000578F2" w:rsidRPr="002D4754">
              <w:rPr>
                <w:rFonts w:ascii="Verdana" w:hAnsi="Verdana"/>
                <w:sz w:val="16"/>
                <w:szCs w:val="16"/>
                <w:lang w:val="en-GB" w:eastAsia="en-GB"/>
              </w:rPr>
              <w:t>MCCPs</w:t>
            </w:r>
            <w:r w:rsidRPr="002D4754">
              <w:rPr>
                <w:rFonts w:ascii="Verdana" w:hAnsi="Verdana"/>
                <w:sz w:val="16"/>
                <w:szCs w:val="16"/>
                <w:lang w:val="en-GB" w:eastAsia="en-GB"/>
              </w:rPr>
              <w:t xml:space="preserve">, very toxic to aquatic organisms). A more detailed evaluation is necessary to make side by side comparisons with </w:t>
            </w:r>
            <w:r w:rsidR="000578F2" w:rsidRPr="002D4754">
              <w:rPr>
                <w:rFonts w:ascii="Verdana" w:hAnsi="Verdana"/>
                <w:sz w:val="16"/>
                <w:szCs w:val="16"/>
                <w:lang w:val="en-GB" w:eastAsia="en-GB"/>
              </w:rPr>
              <w:t>MCCPs</w:t>
            </w:r>
            <w:r w:rsidRPr="002D4754">
              <w:rPr>
                <w:rFonts w:ascii="Verdana" w:hAnsi="Verdana"/>
                <w:sz w:val="16"/>
                <w:szCs w:val="16"/>
                <w:lang w:val="en-GB" w:eastAsia="en-GB"/>
              </w:rPr>
              <w:t>.</w:t>
            </w:r>
          </w:p>
        </w:tc>
        <w:tc>
          <w:tcPr>
            <w:tcW w:w="5751" w:type="dxa"/>
            <w:tcBorders>
              <w:bottom w:val="single" w:sz="4" w:space="0" w:color="auto"/>
            </w:tcBorders>
            <w:shd w:val="clear" w:color="auto" w:fill="auto"/>
          </w:tcPr>
          <w:p w14:paraId="100D1EFD"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Phosphonates are considered to have excellent performance under high temperature conditions because of their greater thermal stability. </w:t>
            </w:r>
          </w:p>
          <w:p w14:paraId="626A96B7" w14:textId="77777777" w:rsidR="00EA772F" w:rsidRPr="002D4754" w:rsidRDefault="00EA772F" w:rsidP="00EA772F">
            <w:pPr>
              <w:spacing w:after="0"/>
              <w:jc w:val="both"/>
              <w:rPr>
                <w:rFonts w:ascii="Verdana" w:hAnsi="Verdana"/>
                <w:sz w:val="16"/>
                <w:szCs w:val="16"/>
                <w:lang w:val="en-GB" w:eastAsia="en-GB"/>
              </w:rPr>
            </w:pPr>
          </w:p>
          <w:p w14:paraId="2E24DD46" w14:textId="7BBF8D79"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organic radicals in the phosphorus additives can be either aliphatic or aromatic with the alkyl phosphates considered to be better than the aryl derivatives. Acid alkyl phosphates have good extreme pressure performance but are more difficult to formulate due to their high acidity or are less economically viable. Neutral alkyl phosphates can work synergistically with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urised</w:t>
            </w:r>
            <w:proofErr w:type="spellEnd"/>
            <w:r w:rsidRPr="002D4754">
              <w:rPr>
                <w:rFonts w:ascii="Verdana" w:hAnsi="Verdana"/>
                <w:sz w:val="16"/>
                <w:szCs w:val="16"/>
                <w:lang w:val="en-GB" w:eastAsia="en-GB"/>
              </w:rPr>
              <w:t xml:space="preserve"> additives to achieve a performance level similar to chlorinated paraffins in a cost-effective manner.</w:t>
            </w:r>
          </w:p>
          <w:p w14:paraId="57498465" w14:textId="77777777" w:rsidR="00EA772F" w:rsidRPr="002D4754" w:rsidRDefault="00EA772F" w:rsidP="00EA772F">
            <w:pPr>
              <w:spacing w:after="0"/>
              <w:jc w:val="both"/>
              <w:rPr>
                <w:rFonts w:ascii="Verdana" w:hAnsi="Verdana"/>
                <w:sz w:val="16"/>
                <w:szCs w:val="16"/>
                <w:lang w:val="en-GB" w:eastAsia="en-GB"/>
              </w:rPr>
            </w:pPr>
          </w:p>
          <w:p w14:paraId="3A68F8D9"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transition dossier states that tri-butyl phosphate is not suitable for use under extreme temperature and pressure. </w:t>
            </w:r>
          </w:p>
        </w:tc>
      </w:tr>
      <w:tr w:rsidR="00EA772F" w:rsidRPr="002D4754" w14:paraId="582856BF" w14:textId="77777777" w:rsidTr="00D85444">
        <w:tc>
          <w:tcPr>
            <w:tcW w:w="2527" w:type="dxa"/>
            <w:vMerge/>
            <w:shd w:val="clear" w:color="auto" w:fill="auto"/>
          </w:tcPr>
          <w:p w14:paraId="19CDB985" w14:textId="77777777" w:rsidR="00EA772F" w:rsidRPr="002D4754" w:rsidRDefault="00EA772F" w:rsidP="00EA772F">
            <w:pPr>
              <w:spacing w:after="0"/>
              <w:rPr>
                <w:rFonts w:ascii="Verdana" w:hAnsi="Verdana"/>
                <w:sz w:val="16"/>
                <w:szCs w:val="16"/>
                <w:lang w:val="en-GB" w:eastAsia="en-GB"/>
              </w:rPr>
            </w:pPr>
          </w:p>
        </w:tc>
        <w:tc>
          <w:tcPr>
            <w:tcW w:w="2268" w:type="dxa"/>
            <w:tcBorders>
              <w:bottom w:val="single" w:sz="4" w:space="0" w:color="auto"/>
            </w:tcBorders>
            <w:shd w:val="clear" w:color="auto" w:fill="auto"/>
          </w:tcPr>
          <w:p w14:paraId="0452F4C4" w14:textId="5CAD9D0D" w:rsidR="00EA772F" w:rsidRPr="002D4754" w:rsidRDefault="00EA772F" w:rsidP="00EA772F">
            <w:pPr>
              <w:spacing w:after="0"/>
              <w:jc w:val="both"/>
              <w:rPr>
                <w:rFonts w:ascii="Verdana" w:hAnsi="Verdana"/>
                <w:sz w:val="16"/>
                <w:szCs w:val="16"/>
                <w:lang w:val="en-GB" w:eastAsia="en-GB"/>
              </w:rPr>
            </w:pPr>
            <w:proofErr w:type="spellStart"/>
            <w:r w:rsidRPr="002D4754">
              <w:rPr>
                <w:rFonts w:ascii="Verdana" w:hAnsi="Verdana"/>
                <w:sz w:val="16"/>
                <w:szCs w:val="16"/>
                <w:lang w:val="en-GB" w:eastAsia="en-GB"/>
              </w:rPr>
              <w:t>Overbased</w:t>
            </w:r>
            <w:proofErr w:type="spellEnd"/>
            <w:r w:rsidRPr="002D4754">
              <w:rPr>
                <w:rFonts w:ascii="Verdana" w:hAnsi="Verdana"/>
                <w:sz w:val="16"/>
                <w:szCs w:val="16"/>
                <w:lang w:val="en-GB" w:eastAsia="en-GB"/>
              </w:rPr>
              <w:t xml:space="preserve"> </w:t>
            </w:r>
            <w:r w:rsidR="00367D7E" w:rsidRPr="002D4754">
              <w:rPr>
                <w:rFonts w:ascii="Verdana" w:hAnsi="Verdana"/>
                <w:sz w:val="16"/>
                <w:szCs w:val="16"/>
                <w:lang w:val="en-GB" w:eastAsia="en-GB"/>
              </w:rPr>
              <w:t>sulf</w:t>
            </w:r>
            <w:r w:rsidRPr="002D4754">
              <w:rPr>
                <w:rFonts w:ascii="Verdana" w:hAnsi="Verdana"/>
                <w:sz w:val="16"/>
                <w:szCs w:val="16"/>
                <w:lang w:val="en-GB" w:eastAsia="en-GB"/>
              </w:rPr>
              <w:t>onates</w:t>
            </w:r>
          </w:p>
        </w:tc>
        <w:tc>
          <w:tcPr>
            <w:tcW w:w="4394" w:type="dxa"/>
            <w:tcBorders>
              <w:bottom w:val="single" w:sz="4" w:space="0" w:color="auto"/>
            </w:tcBorders>
            <w:shd w:val="clear" w:color="auto" w:fill="auto"/>
          </w:tcPr>
          <w:p w14:paraId="7D84C7AF" w14:textId="7FA219A1"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UK CA does not have sufficient information on the human health and environmental hazards and risks associated with the use of these potential substitutes to carry out a side by side evaluation with </w:t>
            </w:r>
            <w:r w:rsidR="000578F2" w:rsidRPr="002D4754">
              <w:rPr>
                <w:rFonts w:ascii="Verdana" w:hAnsi="Verdana"/>
                <w:sz w:val="16"/>
                <w:szCs w:val="16"/>
                <w:lang w:val="en-GB" w:eastAsia="en-GB"/>
              </w:rPr>
              <w:t>MCCPs</w:t>
            </w:r>
            <w:r w:rsidRPr="002D4754">
              <w:rPr>
                <w:rFonts w:ascii="Verdana" w:hAnsi="Verdana"/>
                <w:sz w:val="16"/>
                <w:szCs w:val="16"/>
                <w:lang w:val="en-GB" w:eastAsia="en-GB"/>
              </w:rPr>
              <w:t>.</w:t>
            </w:r>
          </w:p>
        </w:tc>
        <w:tc>
          <w:tcPr>
            <w:tcW w:w="5751" w:type="dxa"/>
            <w:tcBorders>
              <w:bottom w:val="single" w:sz="4" w:space="0" w:color="auto"/>
            </w:tcBorders>
            <w:shd w:val="clear" w:color="auto" w:fill="auto"/>
          </w:tcPr>
          <w:p w14:paraId="69ED8586" w14:textId="391B95F5" w:rsidR="00EA772F" w:rsidRPr="002D4754" w:rsidRDefault="00EA772F" w:rsidP="00EA772F">
            <w:pPr>
              <w:spacing w:after="0"/>
              <w:jc w:val="both"/>
              <w:rPr>
                <w:rFonts w:ascii="Verdana" w:hAnsi="Verdana"/>
                <w:sz w:val="16"/>
                <w:szCs w:val="16"/>
                <w:lang w:val="en-GB" w:eastAsia="en-GB"/>
              </w:rPr>
            </w:pPr>
            <w:proofErr w:type="spellStart"/>
            <w:r w:rsidRPr="002D4754">
              <w:rPr>
                <w:rFonts w:ascii="Verdana" w:hAnsi="Verdana"/>
                <w:sz w:val="16"/>
                <w:szCs w:val="16"/>
                <w:lang w:val="en-GB" w:eastAsia="en-GB"/>
              </w:rPr>
              <w:t>Overbased</w:t>
            </w:r>
            <w:proofErr w:type="spellEnd"/>
            <w:r w:rsidRPr="002D4754">
              <w:rPr>
                <w:rFonts w:ascii="Verdana" w:hAnsi="Verdana"/>
                <w:sz w:val="16"/>
                <w:szCs w:val="16"/>
                <w:lang w:val="en-GB" w:eastAsia="en-GB"/>
              </w:rPr>
              <w:t xml:space="preserve"> calcium and sodium </w:t>
            </w:r>
            <w:r w:rsidR="00367D7E" w:rsidRPr="002D4754">
              <w:rPr>
                <w:rFonts w:ascii="Verdana" w:hAnsi="Verdana"/>
                <w:sz w:val="16"/>
                <w:szCs w:val="16"/>
                <w:lang w:val="en-GB" w:eastAsia="en-GB"/>
              </w:rPr>
              <w:t>sulf</w:t>
            </w:r>
            <w:r w:rsidRPr="002D4754">
              <w:rPr>
                <w:rFonts w:ascii="Verdana" w:hAnsi="Verdana"/>
                <w:sz w:val="16"/>
                <w:szCs w:val="16"/>
                <w:lang w:val="en-GB" w:eastAsia="en-GB"/>
              </w:rPr>
              <w:t xml:space="preserve">onates have been suggested as possible extreme pressure agents when used in combination with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urised</w:t>
            </w:r>
            <w:proofErr w:type="spellEnd"/>
            <w:r w:rsidRPr="002D4754">
              <w:rPr>
                <w:rFonts w:ascii="Verdana" w:hAnsi="Verdana"/>
                <w:sz w:val="16"/>
                <w:szCs w:val="16"/>
                <w:lang w:val="en-GB" w:eastAsia="en-GB"/>
              </w:rPr>
              <w:t xml:space="preserve"> esters. The technical limitations identified above for </w:t>
            </w:r>
            <w:proofErr w:type="spellStart"/>
            <w:r w:rsidR="00367D7E" w:rsidRPr="002D4754">
              <w:rPr>
                <w:rFonts w:ascii="Verdana" w:hAnsi="Verdana"/>
                <w:sz w:val="16"/>
                <w:szCs w:val="16"/>
                <w:lang w:val="en-GB" w:eastAsia="en-GB"/>
              </w:rPr>
              <w:t>sulf</w:t>
            </w:r>
            <w:r w:rsidRPr="002D4754">
              <w:rPr>
                <w:rFonts w:ascii="Verdana" w:hAnsi="Verdana"/>
                <w:sz w:val="16"/>
                <w:szCs w:val="16"/>
                <w:lang w:val="en-GB" w:eastAsia="en-GB"/>
              </w:rPr>
              <w:t>ur</w:t>
            </w:r>
            <w:proofErr w:type="spellEnd"/>
            <w:r w:rsidRPr="002D4754">
              <w:rPr>
                <w:rFonts w:ascii="Verdana" w:hAnsi="Verdana"/>
                <w:sz w:val="16"/>
                <w:szCs w:val="16"/>
                <w:lang w:val="en-GB" w:eastAsia="en-GB"/>
              </w:rPr>
              <w:t xml:space="preserve"> based additives apply to </w:t>
            </w:r>
            <w:proofErr w:type="spellStart"/>
            <w:r w:rsidRPr="002D4754">
              <w:rPr>
                <w:rFonts w:ascii="Verdana" w:hAnsi="Verdana"/>
                <w:sz w:val="16"/>
                <w:szCs w:val="16"/>
                <w:lang w:val="en-GB" w:eastAsia="en-GB"/>
              </w:rPr>
              <w:t>overbased</w:t>
            </w:r>
            <w:proofErr w:type="spellEnd"/>
            <w:r w:rsidRPr="002D4754">
              <w:rPr>
                <w:rFonts w:ascii="Verdana" w:hAnsi="Verdana"/>
                <w:sz w:val="16"/>
                <w:szCs w:val="16"/>
                <w:lang w:val="en-GB" w:eastAsia="en-GB"/>
              </w:rPr>
              <w:t xml:space="preserve"> </w:t>
            </w:r>
            <w:r w:rsidR="00367D7E" w:rsidRPr="002D4754">
              <w:rPr>
                <w:rFonts w:ascii="Verdana" w:hAnsi="Verdana"/>
                <w:sz w:val="16"/>
                <w:szCs w:val="16"/>
                <w:lang w:val="en-GB" w:eastAsia="en-GB"/>
              </w:rPr>
              <w:t>sulf</w:t>
            </w:r>
            <w:r w:rsidRPr="002D4754">
              <w:rPr>
                <w:rFonts w:ascii="Verdana" w:hAnsi="Verdana"/>
                <w:sz w:val="16"/>
                <w:szCs w:val="16"/>
                <w:lang w:val="en-GB" w:eastAsia="en-GB"/>
              </w:rPr>
              <w:t>onates.</w:t>
            </w:r>
          </w:p>
        </w:tc>
      </w:tr>
      <w:tr w:rsidR="00EA772F" w:rsidRPr="002D4754" w14:paraId="267F7422" w14:textId="77777777" w:rsidTr="00D85444">
        <w:tc>
          <w:tcPr>
            <w:tcW w:w="2527" w:type="dxa"/>
            <w:vMerge/>
            <w:tcBorders>
              <w:bottom w:val="single" w:sz="4" w:space="0" w:color="auto"/>
            </w:tcBorders>
            <w:shd w:val="clear" w:color="auto" w:fill="auto"/>
          </w:tcPr>
          <w:p w14:paraId="1E94BAE6" w14:textId="77777777" w:rsidR="00EA772F" w:rsidRPr="002D4754" w:rsidRDefault="00EA772F" w:rsidP="00EA772F">
            <w:pPr>
              <w:spacing w:after="0"/>
              <w:rPr>
                <w:rFonts w:ascii="Verdana" w:hAnsi="Verdana"/>
                <w:sz w:val="16"/>
                <w:szCs w:val="16"/>
                <w:lang w:val="en-GB" w:eastAsia="en-GB"/>
              </w:rPr>
            </w:pPr>
          </w:p>
        </w:tc>
        <w:tc>
          <w:tcPr>
            <w:tcW w:w="2268" w:type="dxa"/>
            <w:tcBorders>
              <w:bottom w:val="single" w:sz="4" w:space="0" w:color="auto"/>
            </w:tcBorders>
            <w:shd w:val="clear" w:color="auto" w:fill="auto"/>
          </w:tcPr>
          <w:p w14:paraId="4AD2D768"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Zinc-</w:t>
            </w:r>
            <w:proofErr w:type="spellStart"/>
            <w:r w:rsidRPr="002D4754">
              <w:rPr>
                <w:rFonts w:ascii="Verdana" w:hAnsi="Verdana"/>
                <w:sz w:val="16"/>
                <w:szCs w:val="16"/>
                <w:lang w:val="en-GB" w:eastAsia="en-GB"/>
              </w:rPr>
              <w:t>dialkyl</w:t>
            </w:r>
            <w:proofErr w:type="spellEnd"/>
            <w:r w:rsidRPr="002D4754">
              <w:rPr>
                <w:rFonts w:ascii="Verdana" w:hAnsi="Verdana"/>
                <w:sz w:val="16"/>
                <w:szCs w:val="16"/>
                <w:lang w:val="en-GB" w:eastAsia="en-GB"/>
              </w:rPr>
              <w:t xml:space="preserve"> </w:t>
            </w:r>
            <w:proofErr w:type="spellStart"/>
            <w:r w:rsidRPr="002D4754">
              <w:rPr>
                <w:rFonts w:ascii="Verdana" w:hAnsi="Verdana"/>
                <w:sz w:val="16"/>
                <w:szCs w:val="16"/>
                <w:lang w:val="en-GB" w:eastAsia="en-GB"/>
              </w:rPr>
              <w:t>dithiophosphate</w:t>
            </w:r>
            <w:proofErr w:type="spellEnd"/>
            <w:r w:rsidRPr="002D4754">
              <w:rPr>
                <w:rFonts w:ascii="Verdana" w:hAnsi="Verdana"/>
                <w:sz w:val="16"/>
                <w:szCs w:val="16"/>
                <w:lang w:val="en-GB" w:eastAsia="en-GB"/>
              </w:rPr>
              <w:t xml:space="preserve"> (ZDDP)</w:t>
            </w:r>
          </w:p>
        </w:tc>
        <w:tc>
          <w:tcPr>
            <w:tcW w:w="4394" w:type="dxa"/>
            <w:tcBorders>
              <w:bottom w:val="single" w:sz="4" w:space="0" w:color="auto"/>
            </w:tcBorders>
            <w:shd w:val="clear" w:color="auto" w:fill="auto"/>
          </w:tcPr>
          <w:p w14:paraId="159E800F" w14:textId="08BE41E8"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UK CA does not have sufficient information on the human health and environmental hazards and </w:t>
            </w:r>
            <w:r w:rsidRPr="002D4754">
              <w:rPr>
                <w:rFonts w:ascii="Verdana" w:hAnsi="Verdana"/>
                <w:sz w:val="16"/>
                <w:szCs w:val="16"/>
                <w:lang w:val="en-GB" w:eastAsia="en-GB"/>
              </w:rPr>
              <w:lastRenderedPageBreak/>
              <w:t xml:space="preserve">risks associated with the use of this substitute to carry out a side by side evaluation with </w:t>
            </w:r>
            <w:r w:rsidR="000578F2" w:rsidRPr="002D4754">
              <w:rPr>
                <w:rFonts w:ascii="Verdana" w:hAnsi="Verdana"/>
                <w:sz w:val="16"/>
                <w:szCs w:val="16"/>
                <w:lang w:val="en-GB" w:eastAsia="en-GB"/>
              </w:rPr>
              <w:t>MCCPs</w:t>
            </w:r>
            <w:r w:rsidRPr="002D4754">
              <w:rPr>
                <w:rFonts w:ascii="Verdana" w:hAnsi="Verdana"/>
                <w:sz w:val="16"/>
                <w:szCs w:val="16"/>
                <w:lang w:val="en-GB" w:eastAsia="en-GB"/>
              </w:rPr>
              <w:t>.</w:t>
            </w:r>
          </w:p>
        </w:tc>
        <w:tc>
          <w:tcPr>
            <w:tcW w:w="5751" w:type="dxa"/>
            <w:tcBorders>
              <w:bottom w:val="single" w:sz="4" w:space="0" w:color="auto"/>
            </w:tcBorders>
            <w:shd w:val="clear" w:color="auto" w:fill="auto"/>
          </w:tcPr>
          <w:p w14:paraId="7CA379AA"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lastRenderedPageBreak/>
              <w:t xml:space="preserve">The effectiveness of ZDDP is limited because when burnt, ZDDP leaves a residue. Burning is unavoidable with extreme temperature </w:t>
            </w:r>
            <w:r w:rsidRPr="002D4754">
              <w:rPr>
                <w:rFonts w:ascii="Verdana" w:hAnsi="Verdana"/>
                <w:sz w:val="16"/>
                <w:szCs w:val="16"/>
                <w:lang w:val="en-GB" w:eastAsia="en-GB"/>
              </w:rPr>
              <w:lastRenderedPageBreak/>
              <w:t>and pressure. This could only be an effective substitute where temperature and pressure do not reach extreme levels.</w:t>
            </w:r>
          </w:p>
        </w:tc>
      </w:tr>
      <w:tr w:rsidR="00EA772F" w:rsidRPr="002D4754" w14:paraId="7552D47A" w14:textId="77777777" w:rsidTr="00EF4977">
        <w:tc>
          <w:tcPr>
            <w:tcW w:w="14940" w:type="dxa"/>
            <w:gridSpan w:val="4"/>
            <w:shd w:val="clear" w:color="auto" w:fill="C0C0C0"/>
          </w:tcPr>
          <w:p w14:paraId="0296FC1F"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b/>
                <w:sz w:val="16"/>
                <w:szCs w:val="16"/>
                <w:lang w:val="en-GB" w:eastAsia="en-GB"/>
              </w:rPr>
              <w:lastRenderedPageBreak/>
              <w:t>Rubber / polymers (non-PVC)</w:t>
            </w:r>
          </w:p>
        </w:tc>
      </w:tr>
      <w:tr w:rsidR="00EA772F" w:rsidRPr="002D4754" w14:paraId="0B443357" w14:textId="77777777" w:rsidTr="00D85444">
        <w:tc>
          <w:tcPr>
            <w:tcW w:w="2527" w:type="dxa"/>
            <w:tcBorders>
              <w:bottom w:val="single" w:sz="4" w:space="0" w:color="auto"/>
            </w:tcBorders>
            <w:shd w:val="clear" w:color="auto" w:fill="auto"/>
          </w:tcPr>
          <w:p w14:paraId="05AE3467"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Used as a plasticiser/flame retardant in rubbers for conveyor belts and automotive applications.</w:t>
            </w:r>
          </w:p>
          <w:p w14:paraId="071D0300"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Used in non PVC polymers as a plasticiser/flame retardant.</w:t>
            </w:r>
          </w:p>
        </w:tc>
        <w:tc>
          <w:tcPr>
            <w:tcW w:w="2268" w:type="dxa"/>
            <w:tcBorders>
              <w:bottom w:val="single" w:sz="4" w:space="0" w:color="auto"/>
            </w:tcBorders>
            <w:shd w:val="clear" w:color="auto" w:fill="auto"/>
          </w:tcPr>
          <w:p w14:paraId="7F08D796" w14:textId="3203B50A"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LCCPs</w:t>
            </w:r>
          </w:p>
        </w:tc>
        <w:tc>
          <w:tcPr>
            <w:tcW w:w="4394" w:type="dxa"/>
            <w:tcBorders>
              <w:bottom w:val="single" w:sz="4" w:space="0" w:color="auto"/>
            </w:tcBorders>
            <w:shd w:val="clear" w:color="auto" w:fill="auto"/>
          </w:tcPr>
          <w:p w14:paraId="1143855D" w14:textId="0086F68D"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Environment</w:t>
            </w:r>
            <w:r w:rsidR="00AF74D5" w:rsidRPr="002D4754">
              <w:rPr>
                <w:rFonts w:ascii="Verdana" w:hAnsi="Verdana"/>
                <w:sz w:val="16"/>
                <w:szCs w:val="16"/>
                <w:lang w:val="en-GB" w:eastAsia="en-GB"/>
              </w:rPr>
              <w:t>al</w:t>
            </w:r>
            <w:r w:rsidRPr="002D4754">
              <w:rPr>
                <w:rFonts w:ascii="Verdana" w:hAnsi="Verdana"/>
                <w:sz w:val="16"/>
                <w:szCs w:val="16"/>
                <w:lang w:val="en-GB" w:eastAsia="en-GB"/>
              </w:rPr>
              <w:t xml:space="preserve"> risk assessment by the Environment Agency in the UK on LCCPs identified PEC/PNEC ratios above 1 for some uses (EA 2009). LCCPs with carbon chain length C</w:t>
            </w:r>
            <w:r w:rsidRPr="002D4754">
              <w:rPr>
                <w:rFonts w:ascii="Verdana" w:hAnsi="Verdana"/>
                <w:sz w:val="16"/>
                <w:szCs w:val="16"/>
                <w:vertAlign w:val="subscript"/>
                <w:lang w:val="en-GB" w:eastAsia="en-GB"/>
              </w:rPr>
              <w:t>18-20</w:t>
            </w:r>
            <w:r w:rsidRPr="002D4754">
              <w:rPr>
                <w:rFonts w:ascii="Verdana" w:hAnsi="Verdana"/>
                <w:sz w:val="16"/>
                <w:szCs w:val="16"/>
                <w:lang w:val="en-GB" w:eastAsia="en-GB"/>
              </w:rPr>
              <w:t xml:space="preserve"> may contain up to 20% C</w:t>
            </w:r>
            <w:r w:rsidRPr="002D4754">
              <w:rPr>
                <w:rFonts w:ascii="Verdana" w:hAnsi="Verdana"/>
                <w:sz w:val="16"/>
                <w:szCs w:val="16"/>
                <w:vertAlign w:val="subscript"/>
                <w:lang w:val="en-GB" w:eastAsia="en-GB"/>
              </w:rPr>
              <w:t>17</w:t>
            </w:r>
            <w:r w:rsidRPr="002D4754">
              <w:rPr>
                <w:rFonts w:ascii="Verdana" w:hAnsi="Verdana"/>
                <w:sz w:val="16"/>
                <w:szCs w:val="16"/>
                <w:lang w:val="en-GB" w:eastAsia="en-GB"/>
              </w:rPr>
              <w:t xml:space="preserve"> chlorinated paraffins. The implication of this for the hazardous properties of LCCPs has not yet been evaluated.</w:t>
            </w:r>
          </w:p>
        </w:tc>
        <w:tc>
          <w:tcPr>
            <w:tcW w:w="5751" w:type="dxa"/>
            <w:tcBorders>
              <w:bottom w:val="single" w:sz="4" w:space="0" w:color="auto"/>
            </w:tcBorders>
            <w:shd w:val="clear" w:color="auto" w:fill="auto"/>
          </w:tcPr>
          <w:p w14:paraId="665FFB9A" w14:textId="0A632D4F" w:rsidR="00EA772F" w:rsidRPr="002D4754" w:rsidRDefault="00115499" w:rsidP="00115499">
            <w:pPr>
              <w:spacing w:after="0"/>
              <w:jc w:val="both"/>
              <w:rPr>
                <w:rFonts w:ascii="Verdana" w:hAnsi="Verdana"/>
                <w:sz w:val="16"/>
                <w:szCs w:val="16"/>
                <w:lang w:val="en-GB" w:eastAsia="en-GB"/>
              </w:rPr>
            </w:pPr>
            <w:r w:rsidRPr="002D4754">
              <w:rPr>
                <w:rFonts w:ascii="Verdana" w:hAnsi="Verdana"/>
                <w:sz w:val="16"/>
                <w:szCs w:val="16"/>
                <w:lang w:val="en-GB" w:eastAsia="en-GB"/>
              </w:rPr>
              <w:t xml:space="preserve">Industry estimates a €375k per year increase in raw materials costs. Rubbers formulated with LCCPs may be too brittle to use for certain conveyor belts e.g. use in mines. Also rubbers may be too brittle for use in bellows on buses and trains. The suitability of other flame retardants and </w:t>
            </w:r>
            <w:proofErr w:type="spellStart"/>
            <w:r w:rsidRPr="002D4754">
              <w:rPr>
                <w:rFonts w:ascii="Verdana" w:hAnsi="Verdana"/>
                <w:sz w:val="16"/>
                <w:szCs w:val="16"/>
                <w:lang w:val="en-GB" w:eastAsia="en-GB"/>
              </w:rPr>
              <w:t>non fire-resistant</w:t>
            </w:r>
            <w:proofErr w:type="spellEnd"/>
            <w:r w:rsidRPr="002D4754">
              <w:rPr>
                <w:rFonts w:ascii="Verdana" w:hAnsi="Verdana"/>
                <w:sz w:val="16"/>
                <w:szCs w:val="16"/>
                <w:lang w:val="en-GB" w:eastAsia="en-GB"/>
              </w:rPr>
              <w:t xml:space="preserve"> formulations has not been assessed. </w:t>
            </w:r>
          </w:p>
        </w:tc>
      </w:tr>
      <w:tr w:rsidR="00EA772F" w:rsidRPr="002D4754" w14:paraId="07510CC9" w14:textId="77777777" w:rsidTr="00EF4977">
        <w:tc>
          <w:tcPr>
            <w:tcW w:w="14940" w:type="dxa"/>
            <w:gridSpan w:val="4"/>
            <w:shd w:val="clear" w:color="auto" w:fill="C0C0C0"/>
          </w:tcPr>
          <w:p w14:paraId="527255C3"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b/>
                <w:sz w:val="16"/>
                <w:szCs w:val="16"/>
                <w:lang w:val="en-GB" w:eastAsia="en-GB"/>
              </w:rPr>
              <w:t xml:space="preserve">Paints and adhesives </w:t>
            </w:r>
          </w:p>
        </w:tc>
      </w:tr>
      <w:tr w:rsidR="00EA772F" w:rsidRPr="002D4754" w14:paraId="2256E2C0" w14:textId="77777777" w:rsidTr="00D85444">
        <w:tc>
          <w:tcPr>
            <w:tcW w:w="2527" w:type="dxa"/>
            <w:vMerge w:val="restart"/>
            <w:shd w:val="clear" w:color="auto" w:fill="auto"/>
          </w:tcPr>
          <w:p w14:paraId="4B64208F"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Used in chlorinated rubber based paints for aggressive marine and industrial environments and vinyl copolymer-based paints for protection of exterior masonry.</w:t>
            </w:r>
          </w:p>
        </w:tc>
        <w:tc>
          <w:tcPr>
            <w:tcW w:w="2268" w:type="dxa"/>
            <w:tcBorders>
              <w:bottom w:val="single" w:sz="4" w:space="0" w:color="auto"/>
            </w:tcBorders>
            <w:shd w:val="clear" w:color="auto" w:fill="auto"/>
          </w:tcPr>
          <w:p w14:paraId="5B41E7DD" w14:textId="107C715D"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LCCPs may be suitable for anticorrosive primers/topcoats for metals based on PVC-related copolymer also outdoor wall paints and acrylics.</w:t>
            </w:r>
          </w:p>
        </w:tc>
        <w:tc>
          <w:tcPr>
            <w:tcW w:w="4394" w:type="dxa"/>
            <w:tcBorders>
              <w:bottom w:val="single" w:sz="4" w:space="0" w:color="auto"/>
            </w:tcBorders>
            <w:shd w:val="clear" w:color="auto" w:fill="auto"/>
          </w:tcPr>
          <w:p w14:paraId="0A68E1EE" w14:textId="60B48A3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Environment risk assessment by the Environment Agency in the UK on LCCPs identified PEC/PNEC ratios above 1 for some uses (EA 2009). LCCPs with carbon chain length C</w:t>
            </w:r>
            <w:r w:rsidRPr="002D4754">
              <w:rPr>
                <w:rFonts w:ascii="Verdana" w:hAnsi="Verdana"/>
                <w:sz w:val="16"/>
                <w:szCs w:val="16"/>
                <w:vertAlign w:val="subscript"/>
                <w:lang w:val="en-GB" w:eastAsia="en-GB"/>
              </w:rPr>
              <w:t>18-20</w:t>
            </w:r>
            <w:r w:rsidRPr="002D4754">
              <w:rPr>
                <w:rFonts w:ascii="Verdana" w:hAnsi="Verdana"/>
                <w:sz w:val="16"/>
                <w:szCs w:val="16"/>
                <w:lang w:val="en-GB" w:eastAsia="en-GB"/>
              </w:rPr>
              <w:t xml:space="preserve"> may contain up to 20% C</w:t>
            </w:r>
            <w:r w:rsidRPr="002D4754">
              <w:rPr>
                <w:rFonts w:ascii="Verdana" w:hAnsi="Verdana"/>
                <w:sz w:val="16"/>
                <w:szCs w:val="16"/>
                <w:vertAlign w:val="subscript"/>
                <w:lang w:val="en-GB" w:eastAsia="en-GB"/>
              </w:rPr>
              <w:t>17</w:t>
            </w:r>
            <w:r w:rsidRPr="002D4754">
              <w:rPr>
                <w:rFonts w:ascii="Verdana" w:hAnsi="Verdana"/>
                <w:sz w:val="16"/>
                <w:szCs w:val="16"/>
                <w:lang w:val="en-GB" w:eastAsia="en-GB"/>
              </w:rPr>
              <w:t xml:space="preserve"> chlorinated paraffins. The implication of this for the hazardous properties of LCCPs has not yet been evaluated.</w:t>
            </w:r>
          </w:p>
        </w:tc>
        <w:tc>
          <w:tcPr>
            <w:tcW w:w="5751" w:type="dxa"/>
            <w:vMerge w:val="restart"/>
            <w:shd w:val="clear" w:color="auto" w:fill="auto"/>
          </w:tcPr>
          <w:p w14:paraId="74B0165D" w14:textId="77777777" w:rsidR="00EA772F" w:rsidRPr="002D4754" w:rsidRDefault="00EA772F" w:rsidP="00EA772F">
            <w:pPr>
              <w:spacing w:after="240"/>
              <w:jc w:val="both"/>
              <w:rPr>
                <w:rFonts w:ascii="Verdana" w:hAnsi="Verdana"/>
                <w:sz w:val="16"/>
                <w:szCs w:val="16"/>
                <w:lang w:val="en-GB" w:eastAsia="en-GB"/>
              </w:rPr>
            </w:pPr>
            <w:r w:rsidRPr="002D4754">
              <w:rPr>
                <w:rFonts w:ascii="Verdana" w:hAnsi="Verdana"/>
                <w:sz w:val="16"/>
                <w:szCs w:val="16"/>
                <w:lang w:val="en-GB" w:eastAsia="en-GB"/>
              </w:rPr>
              <w:t>The UK CA does not have information on the technical implications of this potential substitution.</w:t>
            </w:r>
          </w:p>
        </w:tc>
      </w:tr>
      <w:tr w:rsidR="00EA772F" w:rsidRPr="002D4754" w14:paraId="1847B7C8" w14:textId="77777777" w:rsidTr="00D85444">
        <w:tc>
          <w:tcPr>
            <w:tcW w:w="2527" w:type="dxa"/>
            <w:vMerge/>
            <w:shd w:val="clear" w:color="auto" w:fill="auto"/>
          </w:tcPr>
          <w:p w14:paraId="7A45A80D" w14:textId="77777777" w:rsidR="00EA772F" w:rsidRPr="002D4754" w:rsidRDefault="00EA772F" w:rsidP="00EA772F">
            <w:pPr>
              <w:spacing w:after="0"/>
              <w:jc w:val="both"/>
              <w:rPr>
                <w:rFonts w:ascii="Verdana" w:hAnsi="Verdana"/>
                <w:sz w:val="16"/>
                <w:szCs w:val="16"/>
                <w:lang w:val="en-GB" w:eastAsia="en-GB"/>
              </w:rPr>
            </w:pPr>
          </w:p>
        </w:tc>
        <w:tc>
          <w:tcPr>
            <w:tcW w:w="2268" w:type="dxa"/>
            <w:tcBorders>
              <w:bottom w:val="single" w:sz="4" w:space="0" w:color="auto"/>
            </w:tcBorders>
            <w:shd w:val="clear" w:color="auto" w:fill="auto"/>
          </w:tcPr>
          <w:p w14:paraId="5D4D05CA"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Chlorine-free polymer</w:t>
            </w:r>
          </w:p>
        </w:tc>
        <w:tc>
          <w:tcPr>
            <w:tcW w:w="4394" w:type="dxa"/>
            <w:tcBorders>
              <w:bottom w:val="single" w:sz="4" w:space="0" w:color="auto"/>
            </w:tcBorders>
            <w:shd w:val="clear" w:color="auto" w:fill="auto"/>
          </w:tcPr>
          <w:p w14:paraId="6EE3F504"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The UK CA does not have any information on the human health and environmental hazards and risks associated with the use of this alternative.</w:t>
            </w:r>
          </w:p>
        </w:tc>
        <w:tc>
          <w:tcPr>
            <w:tcW w:w="5751" w:type="dxa"/>
            <w:vMerge/>
            <w:shd w:val="clear" w:color="auto" w:fill="auto"/>
          </w:tcPr>
          <w:p w14:paraId="3A3B841A" w14:textId="77777777" w:rsidR="00EA772F" w:rsidRPr="002D4754" w:rsidRDefault="00EA772F" w:rsidP="00EA772F">
            <w:pPr>
              <w:spacing w:after="240"/>
              <w:jc w:val="both"/>
              <w:rPr>
                <w:rFonts w:ascii="Verdana" w:hAnsi="Verdana"/>
                <w:sz w:val="16"/>
                <w:szCs w:val="16"/>
                <w:lang w:val="en-GB" w:eastAsia="en-GB"/>
              </w:rPr>
            </w:pPr>
          </w:p>
        </w:tc>
      </w:tr>
      <w:tr w:rsidR="00EA772F" w:rsidRPr="002D4754" w14:paraId="5BFC39F9" w14:textId="77777777" w:rsidTr="00D85444">
        <w:tc>
          <w:tcPr>
            <w:tcW w:w="2527" w:type="dxa"/>
            <w:vMerge/>
            <w:tcBorders>
              <w:bottom w:val="single" w:sz="4" w:space="0" w:color="auto"/>
            </w:tcBorders>
            <w:shd w:val="clear" w:color="auto" w:fill="auto"/>
          </w:tcPr>
          <w:p w14:paraId="1262416F" w14:textId="77777777" w:rsidR="00EA772F" w:rsidRPr="002D4754" w:rsidRDefault="00EA772F" w:rsidP="00EA772F">
            <w:pPr>
              <w:spacing w:after="0"/>
              <w:jc w:val="both"/>
              <w:rPr>
                <w:rFonts w:ascii="Verdana" w:hAnsi="Verdana"/>
                <w:sz w:val="16"/>
                <w:szCs w:val="16"/>
                <w:lang w:val="en-GB" w:eastAsia="en-GB"/>
              </w:rPr>
            </w:pPr>
          </w:p>
        </w:tc>
        <w:tc>
          <w:tcPr>
            <w:tcW w:w="2268" w:type="dxa"/>
            <w:tcBorders>
              <w:bottom w:val="single" w:sz="4" w:space="0" w:color="auto"/>
            </w:tcBorders>
            <w:shd w:val="clear" w:color="auto" w:fill="auto"/>
          </w:tcPr>
          <w:p w14:paraId="5E7507A1" w14:textId="77777777" w:rsidR="00EA772F" w:rsidRPr="002D4754" w:rsidRDefault="00EA772F" w:rsidP="00EA772F">
            <w:pPr>
              <w:spacing w:after="0"/>
              <w:jc w:val="both"/>
              <w:rPr>
                <w:rFonts w:ascii="Verdana" w:hAnsi="Verdana"/>
                <w:sz w:val="16"/>
                <w:szCs w:val="16"/>
                <w:lang w:val="en-GB" w:eastAsia="en-GB"/>
              </w:rPr>
            </w:pPr>
            <w:proofErr w:type="spellStart"/>
            <w:r w:rsidRPr="002D4754">
              <w:rPr>
                <w:rFonts w:ascii="Verdana" w:hAnsi="Verdana"/>
                <w:sz w:val="16"/>
                <w:szCs w:val="16"/>
                <w:lang w:val="en-GB" w:eastAsia="en-GB"/>
              </w:rPr>
              <w:t>Polybutenes</w:t>
            </w:r>
            <w:proofErr w:type="spellEnd"/>
            <w:r w:rsidRPr="002D4754">
              <w:rPr>
                <w:rFonts w:ascii="Verdana" w:hAnsi="Verdana"/>
                <w:sz w:val="16"/>
                <w:szCs w:val="16"/>
                <w:lang w:val="en-GB" w:eastAsia="en-GB"/>
              </w:rPr>
              <w:t xml:space="preserve"> may be used in acrylic topcoats; some antifouling paints and some acrylic and epoxy underwater primers.</w:t>
            </w:r>
          </w:p>
        </w:tc>
        <w:tc>
          <w:tcPr>
            <w:tcW w:w="4394" w:type="dxa"/>
            <w:tcBorders>
              <w:bottom w:val="single" w:sz="4" w:space="0" w:color="auto"/>
            </w:tcBorders>
            <w:shd w:val="clear" w:color="auto" w:fill="auto"/>
          </w:tcPr>
          <w:p w14:paraId="609B0417" w14:textId="77777777" w:rsidR="00EA772F"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The UK CA does not have any information on the human health and environmental hazards and risks associated with the use of this alternative.</w:t>
            </w:r>
          </w:p>
          <w:p w14:paraId="4AB29031" w14:textId="77777777" w:rsidR="00665807" w:rsidRPr="002D4754" w:rsidRDefault="00665807" w:rsidP="00EA772F">
            <w:pPr>
              <w:spacing w:after="0"/>
              <w:jc w:val="both"/>
              <w:rPr>
                <w:rFonts w:ascii="Verdana" w:hAnsi="Verdana"/>
                <w:sz w:val="16"/>
                <w:szCs w:val="16"/>
                <w:lang w:val="en-GB" w:eastAsia="en-GB"/>
              </w:rPr>
            </w:pPr>
          </w:p>
        </w:tc>
        <w:tc>
          <w:tcPr>
            <w:tcW w:w="5751" w:type="dxa"/>
            <w:vMerge/>
            <w:tcBorders>
              <w:bottom w:val="single" w:sz="4" w:space="0" w:color="auto"/>
            </w:tcBorders>
            <w:shd w:val="clear" w:color="auto" w:fill="auto"/>
          </w:tcPr>
          <w:p w14:paraId="3F528670" w14:textId="77777777" w:rsidR="00EA772F" w:rsidRPr="002D4754" w:rsidRDefault="00EA772F" w:rsidP="00EA772F">
            <w:pPr>
              <w:spacing w:after="0"/>
              <w:jc w:val="both"/>
              <w:rPr>
                <w:rFonts w:ascii="Verdana" w:hAnsi="Verdana"/>
                <w:sz w:val="16"/>
                <w:szCs w:val="16"/>
                <w:lang w:val="en-GB" w:eastAsia="en-GB"/>
              </w:rPr>
            </w:pPr>
          </w:p>
        </w:tc>
      </w:tr>
      <w:tr w:rsidR="00EA772F" w:rsidRPr="002D4754" w14:paraId="6551F0C7" w14:textId="77777777" w:rsidTr="00EF4977">
        <w:tc>
          <w:tcPr>
            <w:tcW w:w="14940" w:type="dxa"/>
            <w:gridSpan w:val="4"/>
            <w:tcBorders>
              <w:bottom w:val="single" w:sz="4" w:space="0" w:color="auto"/>
            </w:tcBorders>
            <w:shd w:val="clear" w:color="auto" w:fill="C0C0C0"/>
          </w:tcPr>
          <w:p w14:paraId="7648E3A4"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b/>
                <w:sz w:val="16"/>
                <w:szCs w:val="16"/>
                <w:lang w:val="en-GB" w:eastAsia="en-GB"/>
              </w:rPr>
              <w:t>Sealants</w:t>
            </w:r>
          </w:p>
        </w:tc>
      </w:tr>
      <w:tr w:rsidR="00EA772F" w:rsidRPr="002D4754" w14:paraId="6390FF7F" w14:textId="77777777" w:rsidTr="00D85444">
        <w:tc>
          <w:tcPr>
            <w:tcW w:w="2527" w:type="dxa"/>
            <w:tcBorders>
              <w:bottom w:val="single" w:sz="4" w:space="0" w:color="auto"/>
            </w:tcBorders>
            <w:shd w:val="clear" w:color="auto" w:fill="auto"/>
          </w:tcPr>
          <w:p w14:paraId="138EF935" w14:textId="368AE4DB"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Used as plasticiser/flame retardant in e.g. poly</w:t>
            </w:r>
            <w:r w:rsidR="00367D7E" w:rsidRPr="002D4754">
              <w:rPr>
                <w:rFonts w:ascii="Verdana" w:hAnsi="Verdana"/>
                <w:sz w:val="16"/>
                <w:szCs w:val="16"/>
                <w:lang w:val="en-GB" w:eastAsia="en-GB"/>
              </w:rPr>
              <w:t>sulf</w:t>
            </w:r>
            <w:r w:rsidRPr="002D4754">
              <w:rPr>
                <w:rFonts w:ascii="Verdana" w:hAnsi="Verdana"/>
                <w:sz w:val="16"/>
                <w:szCs w:val="16"/>
                <w:lang w:val="en-GB" w:eastAsia="en-GB"/>
              </w:rPr>
              <w:t>ide, polyurethane, acrylic and butyl sealants.</w:t>
            </w:r>
          </w:p>
        </w:tc>
        <w:tc>
          <w:tcPr>
            <w:tcW w:w="2268" w:type="dxa"/>
            <w:tcBorders>
              <w:bottom w:val="single" w:sz="4" w:space="0" w:color="auto"/>
            </w:tcBorders>
            <w:shd w:val="clear" w:color="auto" w:fill="auto"/>
          </w:tcPr>
          <w:p w14:paraId="6EFB23D8" w14:textId="77777777" w:rsidR="00EA772F" w:rsidRPr="002D4754" w:rsidRDefault="00EA772F" w:rsidP="00EA772F">
            <w:pPr>
              <w:spacing w:after="0"/>
              <w:jc w:val="both"/>
              <w:rPr>
                <w:rFonts w:ascii="Verdana" w:hAnsi="Verdana"/>
                <w:sz w:val="16"/>
                <w:szCs w:val="16"/>
                <w:lang w:val="en-GB" w:eastAsia="en-GB"/>
              </w:rPr>
            </w:pPr>
            <w:proofErr w:type="spellStart"/>
            <w:r w:rsidRPr="002D4754">
              <w:rPr>
                <w:rFonts w:ascii="Verdana" w:hAnsi="Verdana"/>
                <w:sz w:val="16"/>
                <w:szCs w:val="16"/>
                <w:lang w:val="en-GB" w:eastAsia="en-GB"/>
              </w:rPr>
              <w:t>Terphenyls</w:t>
            </w:r>
            <w:proofErr w:type="spellEnd"/>
          </w:p>
        </w:tc>
        <w:tc>
          <w:tcPr>
            <w:tcW w:w="4394" w:type="dxa"/>
            <w:tcBorders>
              <w:bottom w:val="single" w:sz="4" w:space="0" w:color="auto"/>
            </w:tcBorders>
            <w:shd w:val="clear" w:color="auto" w:fill="auto"/>
          </w:tcPr>
          <w:p w14:paraId="339AFB26" w14:textId="4F06AA06" w:rsidR="00EA772F" w:rsidRPr="002D4754" w:rsidRDefault="00D95D57" w:rsidP="00D95D57">
            <w:pPr>
              <w:spacing w:after="0"/>
              <w:jc w:val="both"/>
              <w:rPr>
                <w:rFonts w:ascii="Verdana" w:hAnsi="Verdana"/>
                <w:sz w:val="16"/>
                <w:szCs w:val="16"/>
                <w:lang w:val="en-GB" w:eastAsia="en-GB"/>
              </w:rPr>
            </w:pPr>
            <w:proofErr w:type="spellStart"/>
            <w:r>
              <w:rPr>
                <w:rFonts w:ascii="Verdana" w:hAnsi="Verdana"/>
                <w:sz w:val="16"/>
                <w:szCs w:val="16"/>
                <w:lang w:val="en-GB" w:eastAsia="en-GB"/>
              </w:rPr>
              <w:t>T</w:t>
            </w:r>
            <w:r w:rsidRPr="00D95D57">
              <w:rPr>
                <w:rFonts w:ascii="Verdana" w:hAnsi="Verdana"/>
                <w:sz w:val="16"/>
                <w:szCs w:val="16"/>
                <w:lang w:val="en-GB" w:eastAsia="en-GB"/>
              </w:rPr>
              <w:t>erphenyl</w:t>
            </w:r>
            <w:proofErr w:type="spellEnd"/>
            <w:r w:rsidRPr="00D95D57">
              <w:rPr>
                <w:rFonts w:ascii="Verdana" w:hAnsi="Verdana"/>
                <w:sz w:val="16"/>
                <w:szCs w:val="16"/>
                <w:lang w:val="en-GB" w:eastAsia="en-GB"/>
              </w:rPr>
              <w:t xml:space="preserve"> contains “o-</w:t>
            </w:r>
            <w:proofErr w:type="spellStart"/>
            <w:r w:rsidRPr="00D95D57">
              <w:rPr>
                <w:rFonts w:ascii="Verdana" w:hAnsi="Verdana"/>
                <w:sz w:val="16"/>
                <w:szCs w:val="16"/>
                <w:lang w:val="en-GB" w:eastAsia="en-GB"/>
              </w:rPr>
              <w:t>terphenyl</w:t>
            </w:r>
            <w:proofErr w:type="spellEnd"/>
            <w:r w:rsidRPr="00D95D57">
              <w:rPr>
                <w:rFonts w:ascii="Verdana" w:hAnsi="Verdana"/>
                <w:sz w:val="16"/>
                <w:szCs w:val="16"/>
                <w:lang w:val="en-GB" w:eastAsia="en-GB"/>
              </w:rPr>
              <w:t>”</w:t>
            </w:r>
            <w:r>
              <w:rPr>
                <w:rFonts w:ascii="Verdana" w:hAnsi="Verdana"/>
                <w:sz w:val="16"/>
                <w:szCs w:val="16"/>
                <w:lang w:val="en-GB" w:eastAsia="en-GB"/>
              </w:rPr>
              <w:t>,</w:t>
            </w:r>
            <w:r w:rsidRPr="00D95D57">
              <w:rPr>
                <w:rFonts w:ascii="Verdana" w:hAnsi="Verdana"/>
                <w:sz w:val="16"/>
                <w:szCs w:val="16"/>
                <w:lang w:val="en-GB" w:eastAsia="en-GB"/>
              </w:rPr>
              <w:t xml:space="preserve"> which has been identified as vPvB (cf. support document of “</w:t>
            </w:r>
            <w:proofErr w:type="spellStart"/>
            <w:r w:rsidRPr="00D95D57">
              <w:rPr>
                <w:rFonts w:ascii="Verdana" w:hAnsi="Verdana"/>
                <w:sz w:val="16"/>
                <w:szCs w:val="16"/>
                <w:lang w:val="en-GB" w:eastAsia="en-GB"/>
              </w:rPr>
              <w:t>Terphenyl</w:t>
            </w:r>
            <w:proofErr w:type="spellEnd"/>
            <w:r w:rsidRPr="00D95D57">
              <w:rPr>
                <w:rFonts w:ascii="Verdana" w:hAnsi="Verdana"/>
                <w:sz w:val="16"/>
                <w:szCs w:val="16"/>
                <w:lang w:val="en-GB" w:eastAsia="en-GB"/>
              </w:rPr>
              <w:t>, hydrogenated”).</w:t>
            </w:r>
            <w:r>
              <w:rPr>
                <w:rFonts w:ascii="Verdana" w:hAnsi="Verdana"/>
                <w:sz w:val="16"/>
                <w:szCs w:val="16"/>
                <w:lang w:val="en-GB" w:eastAsia="en-GB"/>
              </w:rPr>
              <w:t xml:space="preserve"> </w:t>
            </w:r>
          </w:p>
        </w:tc>
        <w:tc>
          <w:tcPr>
            <w:tcW w:w="5751" w:type="dxa"/>
            <w:tcBorders>
              <w:bottom w:val="single" w:sz="4" w:space="0" w:color="auto"/>
            </w:tcBorders>
            <w:shd w:val="clear" w:color="auto" w:fill="auto"/>
          </w:tcPr>
          <w:p w14:paraId="5BA1A703" w14:textId="77777777" w:rsidR="00EA772F" w:rsidRPr="002D4754" w:rsidRDefault="00EA772F" w:rsidP="00EA772F">
            <w:pPr>
              <w:spacing w:after="0"/>
              <w:jc w:val="both"/>
              <w:rPr>
                <w:rFonts w:ascii="Verdana" w:hAnsi="Verdana"/>
                <w:sz w:val="16"/>
                <w:szCs w:val="16"/>
                <w:lang w:val="en-GB" w:eastAsia="en-GB"/>
              </w:rPr>
            </w:pPr>
            <w:r w:rsidRPr="002D4754">
              <w:rPr>
                <w:rFonts w:ascii="Verdana" w:hAnsi="Verdana"/>
                <w:sz w:val="16"/>
                <w:szCs w:val="16"/>
                <w:lang w:val="en-GB" w:eastAsia="en-GB"/>
              </w:rPr>
              <w:t xml:space="preserve">The transition dossier states that </w:t>
            </w:r>
            <w:proofErr w:type="spellStart"/>
            <w:r w:rsidRPr="002D4754">
              <w:rPr>
                <w:rFonts w:ascii="Verdana" w:hAnsi="Verdana"/>
                <w:sz w:val="16"/>
                <w:szCs w:val="16"/>
                <w:lang w:val="en-GB" w:eastAsia="en-GB"/>
              </w:rPr>
              <w:t>terphenyls</w:t>
            </w:r>
            <w:proofErr w:type="spellEnd"/>
            <w:r w:rsidRPr="002D4754">
              <w:rPr>
                <w:rFonts w:ascii="Verdana" w:hAnsi="Verdana"/>
                <w:sz w:val="16"/>
                <w:szCs w:val="16"/>
                <w:lang w:val="en-GB" w:eastAsia="en-GB"/>
              </w:rPr>
              <w:t xml:space="preserve"> have inferior technical properties. No further information is available.</w:t>
            </w:r>
          </w:p>
        </w:tc>
      </w:tr>
    </w:tbl>
    <w:p w14:paraId="7F18D25B" w14:textId="77777777" w:rsidR="00EA772F" w:rsidRDefault="00EA772F" w:rsidP="00EA772F">
      <w:pPr>
        <w:pStyle w:val="BodyText"/>
      </w:pPr>
    </w:p>
    <w:p w14:paraId="5287CB7A" w14:textId="77777777" w:rsidR="00665807" w:rsidRDefault="00665807" w:rsidP="000354E4">
      <w:pPr>
        <w:spacing w:after="0"/>
        <w:sectPr w:rsidR="00665807" w:rsidSect="00665807">
          <w:headerReference w:type="default" r:id="rId25"/>
          <w:headerReference w:type="first" r:id="rId26"/>
          <w:pgSz w:w="16838" w:h="11906" w:orient="landscape" w:code="9"/>
          <w:pgMar w:top="1797" w:right="1418" w:bottom="1797" w:left="1134" w:header="680" w:footer="567" w:gutter="0"/>
          <w:cols w:space="708"/>
          <w:docGrid w:linePitch="360"/>
        </w:sectPr>
      </w:pPr>
      <w:r>
        <w:br w:type="page"/>
      </w:r>
    </w:p>
    <w:p w14:paraId="7A553FF5" w14:textId="0512151F" w:rsidR="000764E7" w:rsidRDefault="000764E7" w:rsidP="000354E4">
      <w:pPr>
        <w:spacing w:after="0"/>
        <w:rPr>
          <w:rFonts w:ascii="Verdana" w:hAnsi="Verdana"/>
          <w:b/>
          <w:sz w:val="20"/>
        </w:rPr>
      </w:pPr>
      <w:r w:rsidRPr="00CC7C1B">
        <w:rPr>
          <w:rFonts w:ascii="Verdana" w:hAnsi="Verdana"/>
          <w:b/>
          <w:sz w:val="20"/>
        </w:rPr>
        <w:lastRenderedPageBreak/>
        <w:t xml:space="preserve">Use in PVC </w:t>
      </w:r>
    </w:p>
    <w:p w14:paraId="0F62EAF2" w14:textId="77777777" w:rsidR="00861D95" w:rsidRPr="00CC7C1B" w:rsidRDefault="00861D95" w:rsidP="000354E4">
      <w:pPr>
        <w:spacing w:after="0"/>
        <w:rPr>
          <w:rFonts w:ascii="Verdana" w:hAnsi="Verdana"/>
          <w:b/>
          <w:sz w:val="20"/>
        </w:rPr>
      </w:pPr>
    </w:p>
    <w:p w14:paraId="58D70AFC" w14:textId="30DA1CC1" w:rsidR="000764E7" w:rsidRPr="00CC7C1B" w:rsidRDefault="000578F2" w:rsidP="000764E7">
      <w:pPr>
        <w:pStyle w:val="BodyText"/>
        <w:rPr>
          <w:rFonts w:ascii="Verdana" w:hAnsi="Verdana"/>
          <w:sz w:val="20"/>
        </w:rPr>
      </w:pPr>
      <w:r>
        <w:rPr>
          <w:rFonts w:ascii="Verdana" w:hAnsi="Verdana"/>
          <w:sz w:val="20"/>
        </w:rPr>
        <w:t>MCCPs</w:t>
      </w:r>
      <w:r w:rsidR="00607BBD">
        <w:rPr>
          <w:rFonts w:ascii="Verdana" w:hAnsi="Verdana"/>
          <w:sz w:val="20"/>
        </w:rPr>
        <w:t xml:space="preserve"> </w:t>
      </w:r>
      <w:r w:rsidR="000764E7" w:rsidRPr="00CC7C1B">
        <w:rPr>
          <w:rFonts w:ascii="Verdana" w:hAnsi="Verdana"/>
          <w:sz w:val="20"/>
        </w:rPr>
        <w:t xml:space="preserve">is used in PVC formulation as </w:t>
      </w:r>
      <w:r w:rsidR="00CC7C1B">
        <w:rPr>
          <w:rFonts w:ascii="Verdana" w:hAnsi="Verdana"/>
          <w:sz w:val="20"/>
        </w:rPr>
        <w:t xml:space="preserve">a </w:t>
      </w:r>
      <w:r w:rsidR="000764E7" w:rsidRPr="00CC7C1B">
        <w:rPr>
          <w:rFonts w:ascii="Verdana" w:hAnsi="Verdana"/>
          <w:sz w:val="20"/>
        </w:rPr>
        <w:t>secondary plasticiser with flame-retardant properties. It is a partial replacement for the more expensive primary plasticisers such as phthalates (e.g. di-</w:t>
      </w:r>
      <w:proofErr w:type="spellStart"/>
      <w:r w:rsidR="000764E7" w:rsidRPr="00CC7C1B">
        <w:rPr>
          <w:rFonts w:ascii="Verdana" w:hAnsi="Verdana"/>
          <w:sz w:val="20"/>
        </w:rPr>
        <w:t>isononyl</w:t>
      </w:r>
      <w:proofErr w:type="spellEnd"/>
      <w:r w:rsidR="000764E7" w:rsidRPr="00CC7C1B">
        <w:rPr>
          <w:rFonts w:ascii="Verdana" w:hAnsi="Verdana"/>
          <w:sz w:val="20"/>
        </w:rPr>
        <w:t xml:space="preserve"> phthalate (DINP) and di-</w:t>
      </w:r>
      <w:proofErr w:type="spellStart"/>
      <w:r w:rsidR="000764E7" w:rsidRPr="00CC7C1B">
        <w:rPr>
          <w:rFonts w:ascii="Verdana" w:hAnsi="Verdana"/>
          <w:sz w:val="20"/>
        </w:rPr>
        <w:t>isodecyl</w:t>
      </w:r>
      <w:proofErr w:type="spellEnd"/>
      <w:r w:rsidR="000764E7" w:rsidRPr="00CC7C1B">
        <w:rPr>
          <w:rFonts w:ascii="Verdana" w:hAnsi="Verdana"/>
          <w:sz w:val="20"/>
        </w:rPr>
        <w:t xml:space="preserve"> phthalate) and phosphate esters. In addition to cost-effectiveness, PVC properties such as fire </w:t>
      </w:r>
      <w:proofErr w:type="spellStart"/>
      <w:r w:rsidR="000764E7" w:rsidRPr="00CC7C1B">
        <w:rPr>
          <w:rFonts w:ascii="Verdana" w:hAnsi="Verdana"/>
          <w:sz w:val="20"/>
        </w:rPr>
        <w:t>retardancy</w:t>
      </w:r>
      <w:proofErr w:type="spellEnd"/>
      <w:r w:rsidR="000764E7" w:rsidRPr="00CC7C1B">
        <w:rPr>
          <w:rFonts w:ascii="Verdana" w:hAnsi="Verdana"/>
          <w:sz w:val="20"/>
        </w:rPr>
        <w:t xml:space="preserve">, chemical and water resistance, low temperature performance and viscosity and ageing stability may all be enhanced through incorporation of </w:t>
      </w:r>
      <w:r>
        <w:rPr>
          <w:rFonts w:ascii="Verdana" w:hAnsi="Verdana"/>
          <w:sz w:val="20"/>
        </w:rPr>
        <w:t>MCCPs</w:t>
      </w:r>
      <w:r w:rsidR="00607BBD">
        <w:rPr>
          <w:rFonts w:ascii="Verdana" w:hAnsi="Verdana"/>
          <w:sz w:val="20"/>
        </w:rPr>
        <w:t>.</w:t>
      </w:r>
      <w:r w:rsidR="000764E7" w:rsidRPr="00CC7C1B">
        <w:rPr>
          <w:rFonts w:ascii="Verdana" w:hAnsi="Verdana"/>
          <w:sz w:val="20"/>
        </w:rPr>
        <w:t xml:space="preserve"> </w:t>
      </w:r>
      <w:r w:rsidR="00CC7C1B">
        <w:rPr>
          <w:rFonts w:ascii="Verdana" w:hAnsi="Verdana"/>
          <w:sz w:val="20"/>
        </w:rPr>
        <w:t>It</w:t>
      </w:r>
      <w:r w:rsidR="000764E7" w:rsidRPr="00CC7C1B">
        <w:rPr>
          <w:rFonts w:ascii="Verdana" w:hAnsi="Verdana"/>
          <w:sz w:val="20"/>
        </w:rPr>
        <w:t xml:space="preserve"> can be used in a wider variety of PVC formulations and in combination with a broader range of other plasticisers than any other plasticiser type. This leads to reduced formulation costs. PVC containing </w:t>
      </w:r>
      <w:r>
        <w:rPr>
          <w:rFonts w:ascii="Verdana" w:hAnsi="Verdana"/>
          <w:sz w:val="20"/>
        </w:rPr>
        <w:t>MCCPs</w:t>
      </w:r>
      <w:r w:rsidR="00607BBD">
        <w:rPr>
          <w:rFonts w:ascii="Verdana" w:hAnsi="Verdana"/>
          <w:sz w:val="20"/>
        </w:rPr>
        <w:t xml:space="preserve"> </w:t>
      </w:r>
      <w:r w:rsidR="000764E7" w:rsidRPr="00CC7C1B">
        <w:rPr>
          <w:rFonts w:ascii="Verdana" w:hAnsi="Verdana"/>
          <w:sz w:val="20"/>
        </w:rPr>
        <w:t xml:space="preserve">can be recycled, with the </w:t>
      </w:r>
      <w:r>
        <w:rPr>
          <w:rFonts w:ascii="Verdana" w:hAnsi="Verdana"/>
          <w:sz w:val="20"/>
        </w:rPr>
        <w:t>MCCPs</w:t>
      </w:r>
      <w:r w:rsidR="00607BBD">
        <w:rPr>
          <w:rFonts w:ascii="Verdana" w:hAnsi="Verdana"/>
          <w:sz w:val="20"/>
        </w:rPr>
        <w:t xml:space="preserve"> </w:t>
      </w:r>
      <w:r w:rsidR="00CC7C1B">
        <w:rPr>
          <w:rFonts w:ascii="Verdana" w:hAnsi="Verdana"/>
          <w:sz w:val="20"/>
        </w:rPr>
        <w:t xml:space="preserve">remaining </w:t>
      </w:r>
      <w:r w:rsidR="000764E7" w:rsidRPr="00CC7C1B">
        <w:rPr>
          <w:rFonts w:ascii="Verdana" w:hAnsi="Verdana"/>
          <w:sz w:val="20"/>
        </w:rPr>
        <w:t>in the PVC matrix for multiple product lifecycles.</w:t>
      </w:r>
    </w:p>
    <w:p w14:paraId="7B80CE0D" w14:textId="7EBB65E6" w:rsidR="000764E7" w:rsidRPr="00367D7E" w:rsidRDefault="000578F2" w:rsidP="000764E7">
      <w:pPr>
        <w:pStyle w:val="BodyText"/>
        <w:rPr>
          <w:rFonts w:ascii="Verdana" w:hAnsi="Verdana"/>
          <w:sz w:val="20"/>
        </w:rPr>
      </w:pPr>
      <w:r>
        <w:rPr>
          <w:rFonts w:ascii="Verdana" w:hAnsi="Verdana"/>
          <w:sz w:val="20"/>
        </w:rPr>
        <w:t>MCCPs</w:t>
      </w:r>
      <w:r w:rsidR="00607BBD">
        <w:rPr>
          <w:rFonts w:ascii="Verdana" w:hAnsi="Verdana"/>
          <w:sz w:val="20"/>
        </w:rPr>
        <w:t xml:space="preserve"> </w:t>
      </w:r>
      <w:r w:rsidR="000764E7" w:rsidRPr="00CC7C1B">
        <w:rPr>
          <w:rFonts w:ascii="Verdana" w:hAnsi="Verdana"/>
          <w:sz w:val="20"/>
        </w:rPr>
        <w:t xml:space="preserve">with varying degrees of chlorination </w:t>
      </w:r>
      <w:r w:rsidR="00CC7C1B" w:rsidRPr="00CC7C1B">
        <w:rPr>
          <w:rFonts w:ascii="Verdana" w:hAnsi="Verdana"/>
          <w:sz w:val="20"/>
        </w:rPr>
        <w:t>is</w:t>
      </w:r>
      <w:r w:rsidR="000764E7" w:rsidRPr="00CC7C1B">
        <w:rPr>
          <w:rFonts w:ascii="Verdana" w:hAnsi="Verdana"/>
          <w:sz w:val="20"/>
        </w:rPr>
        <w:t xml:space="preserve"> used in most applications. The majority </w:t>
      </w:r>
      <w:r w:rsidR="00CC7C1B" w:rsidRPr="00CC7C1B">
        <w:rPr>
          <w:rFonts w:ascii="Verdana" w:hAnsi="Verdana"/>
          <w:sz w:val="20"/>
        </w:rPr>
        <w:t>comprises</w:t>
      </w:r>
      <w:r w:rsidR="000764E7" w:rsidRPr="00CC7C1B">
        <w:rPr>
          <w:rFonts w:ascii="Verdana" w:hAnsi="Verdana"/>
          <w:sz w:val="20"/>
        </w:rPr>
        <w:t xml:space="preserve"> around 45% w</w:t>
      </w:r>
      <w:r w:rsidR="00D5088B">
        <w:rPr>
          <w:rFonts w:ascii="Verdana" w:hAnsi="Verdana"/>
          <w:sz w:val="20"/>
        </w:rPr>
        <w:t>/w</w:t>
      </w:r>
      <w:r w:rsidR="000764E7" w:rsidRPr="00CC7C1B">
        <w:rPr>
          <w:rFonts w:ascii="Verdana" w:hAnsi="Verdana"/>
          <w:sz w:val="20"/>
        </w:rPr>
        <w:t xml:space="preserve"> Cl or 50-52% w</w:t>
      </w:r>
      <w:r w:rsidR="00D5088B">
        <w:rPr>
          <w:rFonts w:ascii="Verdana" w:hAnsi="Verdana"/>
          <w:sz w:val="20"/>
        </w:rPr>
        <w:t>/w</w:t>
      </w:r>
      <w:r w:rsidR="000764E7" w:rsidRPr="00CC7C1B">
        <w:rPr>
          <w:rFonts w:ascii="Verdana" w:hAnsi="Verdana"/>
          <w:sz w:val="20"/>
        </w:rPr>
        <w:t xml:space="preserve"> Cl, with only very small amounts (&lt;1% of total sales) with higher (e.g. 56-58% w</w:t>
      </w:r>
      <w:r w:rsidR="00D5088B">
        <w:rPr>
          <w:rFonts w:ascii="Verdana" w:hAnsi="Verdana"/>
          <w:sz w:val="20"/>
        </w:rPr>
        <w:t>/w</w:t>
      </w:r>
      <w:r w:rsidR="000764E7" w:rsidRPr="00CC7C1B">
        <w:rPr>
          <w:rFonts w:ascii="Verdana" w:hAnsi="Verdana"/>
          <w:sz w:val="20"/>
        </w:rPr>
        <w:t xml:space="preserve"> Cl) or lower (e.g. ~40% w</w:t>
      </w:r>
      <w:r w:rsidR="00D5088B">
        <w:rPr>
          <w:rFonts w:ascii="Verdana" w:hAnsi="Verdana"/>
          <w:sz w:val="20"/>
        </w:rPr>
        <w:t>/w</w:t>
      </w:r>
      <w:r w:rsidR="000764E7" w:rsidRPr="00CC7C1B">
        <w:rPr>
          <w:rFonts w:ascii="Verdana" w:hAnsi="Verdana"/>
          <w:sz w:val="20"/>
        </w:rPr>
        <w:t xml:space="preserve"> Cl) chlorine content. The properties and compatibility of the chlorinated paraffin with both PVC and the primary plasticiser vary with both the carbon chain length and the degree of chlorination. Generally, as the chain length of the chlorinated paraffin is increased, its volatility decreases and so the potential for migration from the finished PVC is reduced. At the same time, however, the compatibility with PVC and the primary plasticiser is reduced. On the other hand, the compatibility of chlorinated paraffins with PVC and the primary plasticiser increases with increasing chlorination, and so the potential for migration is reduced, but the flexibility of the </w:t>
      </w:r>
      <w:r w:rsidR="000764E7" w:rsidRPr="00367D7E">
        <w:rPr>
          <w:rFonts w:ascii="Verdana" w:hAnsi="Verdana"/>
          <w:sz w:val="20"/>
        </w:rPr>
        <w:t xml:space="preserve">final product is also reduced. </w:t>
      </w:r>
    </w:p>
    <w:p w14:paraId="6B2F0D7E" w14:textId="3874A42C" w:rsidR="000764E7" w:rsidRPr="00367D7E" w:rsidRDefault="000764E7" w:rsidP="000764E7">
      <w:pPr>
        <w:pStyle w:val="BodyText"/>
        <w:rPr>
          <w:rFonts w:ascii="Verdana" w:hAnsi="Verdana"/>
          <w:sz w:val="20"/>
        </w:rPr>
      </w:pPr>
      <w:r w:rsidRPr="00367D7E">
        <w:rPr>
          <w:rFonts w:ascii="Verdana" w:hAnsi="Verdana"/>
          <w:sz w:val="20"/>
        </w:rPr>
        <w:t xml:space="preserve">For soft PVC products that require a high flexibility at normal and low temperatures, </w:t>
      </w:r>
      <w:r w:rsidR="000578F2">
        <w:rPr>
          <w:rFonts w:ascii="Verdana" w:hAnsi="Verdana"/>
          <w:sz w:val="20"/>
        </w:rPr>
        <w:t>MCCPs</w:t>
      </w:r>
      <w:r w:rsidR="00607BBD" w:rsidRPr="00367D7E">
        <w:rPr>
          <w:rFonts w:ascii="Verdana" w:hAnsi="Verdana"/>
          <w:sz w:val="20"/>
        </w:rPr>
        <w:t xml:space="preserve"> </w:t>
      </w:r>
      <w:r w:rsidR="00CC7C1B" w:rsidRPr="00367D7E">
        <w:rPr>
          <w:rFonts w:ascii="Verdana" w:hAnsi="Verdana"/>
          <w:sz w:val="20"/>
        </w:rPr>
        <w:t>comprising</w:t>
      </w:r>
      <w:r w:rsidRPr="00367D7E">
        <w:rPr>
          <w:rFonts w:ascii="Verdana" w:hAnsi="Verdana"/>
          <w:sz w:val="20"/>
        </w:rPr>
        <w:t xml:space="preserve"> around 40-45% w</w:t>
      </w:r>
      <w:r w:rsidR="00D5088B">
        <w:rPr>
          <w:rFonts w:ascii="Verdana" w:hAnsi="Verdana"/>
          <w:sz w:val="20"/>
        </w:rPr>
        <w:t>/w</w:t>
      </w:r>
      <w:r w:rsidRPr="00367D7E">
        <w:rPr>
          <w:rFonts w:ascii="Verdana" w:hAnsi="Verdana"/>
          <w:sz w:val="20"/>
        </w:rPr>
        <w:t xml:space="preserve"> Cl </w:t>
      </w:r>
      <w:r w:rsidR="00CC7C1B" w:rsidRPr="00367D7E">
        <w:rPr>
          <w:rFonts w:ascii="Verdana" w:hAnsi="Verdana"/>
          <w:sz w:val="20"/>
        </w:rPr>
        <w:t>is</w:t>
      </w:r>
      <w:r w:rsidRPr="00367D7E">
        <w:rPr>
          <w:rFonts w:ascii="Verdana" w:hAnsi="Verdana"/>
          <w:sz w:val="20"/>
        </w:rPr>
        <w:t xml:space="preserve"> used as </w:t>
      </w:r>
      <w:r w:rsidR="00CC7C1B" w:rsidRPr="00367D7E">
        <w:rPr>
          <w:rFonts w:ascii="Verdana" w:hAnsi="Verdana"/>
          <w:sz w:val="20"/>
        </w:rPr>
        <w:t xml:space="preserve">a </w:t>
      </w:r>
      <w:r w:rsidRPr="00367D7E">
        <w:rPr>
          <w:rFonts w:ascii="Verdana" w:hAnsi="Verdana"/>
          <w:sz w:val="20"/>
        </w:rPr>
        <w:t>secondary plasticiser. Examples of applications for this type of PVC include coatings, some types of flooring, garden hose and shoe compounds. The secondary plasticiser is added at 10-15% by weight of the total plastic.</w:t>
      </w:r>
    </w:p>
    <w:p w14:paraId="470AEDE9" w14:textId="1E2EAB4A" w:rsidR="000764E7" w:rsidRPr="00CC7C1B" w:rsidRDefault="000578F2" w:rsidP="000764E7">
      <w:pPr>
        <w:pStyle w:val="BodyText"/>
        <w:rPr>
          <w:rFonts w:ascii="Verdana" w:hAnsi="Verdana"/>
          <w:sz w:val="20"/>
        </w:rPr>
      </w:pPr>
      <w:r>
        <w:rPr>
          <w:rFonts w:ascii="Verdana" w:hAnsi="Verdana"/>
          <w:sz w:val="20"/>
        </w:rPr>
        <w:t>MCCPs</w:t>
      </w:r>
      <w:r w:rsidR="00607BBD" w:rsidRPr="00367D7E">
        <w:rPr>
          <w:rFonts w:ascii="Verdana" w:hAnsi="Verdana"/>
          <w:sz w:val="20"/>
        </w:rPr>
        <w:t xml:space="preserve"> </w:t>
      </w:r>
      <w:r w:rsidR="000764E7" w:rsidRPr="00367D7E">
        <w:rPr>
          <w:rFonts w:ascii="Verdana" w:hAnsi="Verdana"/>
          <w:sz w:val="20"/>
        </w:rPr>
        <w:t>with higher degrees of chlorination (typically around 50-52% w</w:t>
      </w:r>
      <w:r w:rsidR="00D5088B">
        <w:rPr>
          <w:rFonts w:ascii="Verdana" w:hAnsi="Verdana"/>
          <w:sz w:val="20"/>
        </w:rPr>
        <w:t>/w</w:t>
      </w:r>
      <w:r w:rsidR="000764E7" w:rsidRPr="00367D7E">
        <w:rPr>
          <w:rFonts w:ascii="Verdana" w:hAnsi="Verdana"/>
          <w:sz w:val="20"/>
        </w:rPr>
        <w:t xml:space="preserve"> Cl) </w:t>
      </w:r>
      <w:r w:rsidR="00CC7C1B" w:rsidRPr="00367D7E">
        <w:rPr>
          <w:rFonts w:ascii="Verdana" w:hAnsi="Verdana"/>
          <w:sz w:val="20"/>
        </w:rPr>
        <w:t>is</w:t>
      </w:r>
      <w:r w:rsidR="000764E7" w:rsidRPr="00367D7E">
        <w:rPr>
          <w:rFonts w:ascii="Verdana" w:hAnsi="Verdana"/>
          <w:sz w:val="20"/>
        </w:rPr>
        <w:t xml:space="preserve"> used</w:t>
      </w:r>
      <w:r w:rsidR="000764E7" w:rsidRPr="00CC7C1B">
        <w:rPr>
          <w:rFonts w:ascii="Verdana" w:hAnsi="Verdana"/>
          <w:sz w:val="20"/>
        </w:rPr>
        <w:t xml:space="preserve"> as </w:t>
      </w:r>
      <w:r w:rsidR="00CC7C1B" w:rsidRPr="00CC7C1B">
        <w:rPr>
          <w:rFonts w:ascii="Verdana" w:hAnsi="Verdana"/>
          <w:sz w:val="20"/>
        </w:rPr>
        <w:t xml:space="preserve">a </w:t>
      </w:r>
      <w:r w:rsidR="000764E7" w:rsidRPr="00CC7C1B">
        <w:rPr>
          <w:rFonts w:ascii="Verdana" w:hAnsi="Verdana"/>
          <w:sz w:val="20"/>
        </w:rPr>
        <w:t xml:space="preserve">secondary plasticiser in </w:t>
      </w:r>
      <w:proofErr w:type="spellStart"/>
      <w:r w:rsidR="000764E7" w:rsidRPr="00CC7C1B">
        <w:rPr>
          <w:rFonts w:ascii="Verdana" w:hAnsi="Verdana"/>
          <w:sz w:val="20"/>
        </w:rPr>
        <w:t>calendered</w:t>
      </w:r>
      <w:proofErr w:type="spellEnd"/>
      <w:r w:rsidR="000764E7" w:rsidRPr="00CC7C1B">
        <w:rPr>
          <w:rFonts w:ascii="Verdana" w:hAnsi="Verdana"/>
          <w:sz w:val="20"/>
        </w:rPr>
        <w:t xml:space="preserve"> flooring, cable sheathing and insulation and in general purpose PVC compounds. In heavily filled products, such as some types of </w:t>
      </w:r>
      <w:proofErr w:type="spellStart"/>
      <w:r w:rsidR="000764E7" w:rsidRPr="00CC7C1B">
        <w:rPr>
          <w:rFonts w:ascii="Verdana" w:hAnsi="Verdana"/>
          <w:sz w:val="20"/>
        </w:rPr>
        <w:t>calendered</w:t>
      </w:r>
      <w:proofErr w:type="spellEnd"/>
      <w:r w:rsidR="000764E7" w:rsidRPr="00CC7C1B">
        <w:rPr>
          <w:rFonts w:ascii="Verdana" w:hAnsi="Verdana"/>
          <w:sz w:val="20"/>
        </w:rPr>
        <w:t xml:space="preserve"> flooring, they can be used as the sole plasticiser at levels of around 10% in the finished product.</w:t>
      </w:r>
    </w:p>
    <w:p w14:paraId="402CB80D" w14:textId="65EFAC54" w:rsidR="000764E7" w:rsidRPr="00CC7C1B" w:rsidRDefault="000764E7" w:rsidP="000764E7">
      <w:pPr>
        <w:pStyle w:val="BodyText"/>
        <w:rPr>
          <w:rFonts w:ascii="Verdana" w:hAnsi="Verdana"/>
          <w:sz w:val="20"/>
        </w:rPr>
      </w:pPr>
      <w:r w:rsidRPr="00CC7C1B">
        <w:rPr>
          <w:rFonts w:ascii="Verdana" w:hAnsi="Verdana"/>
          <w:sz w:val="20"/>
        </w:rPr>
        <w:t xml:space="preserve">The more highly chlorinated </w:t>
      </w:r>
      <w:r w:rsidR="000578F2">
        <w:rPr>
          <w:rFonts w:ascii="Verdana" w:hAnsi="Verdana"/>
          <w:sz w:val="20"/>
        </w:rPr>
        <w:t>MCCPs</w:t>
      </w:r>
      <w:r w:rsidR="00607BBD">
        <w:rPr>
          <w:rFonts w:ascii="Verdana" w:hAnsi="Verdana"/>
          <w:sz w:val="20"/>
        </w:rPr>
        <w:t xml:space="preserve"> </w:t>
      </w:r>
      <w:r w:rsidRPr="00CC7C1B">
        <w:rPr>
          <w:rFonts w:ascii="Verdana" w:hAnsi="Verdana"/>
          <w:sz w:val="20"/>
        </w:rPr>
        <w:t>(e.g. 56-58% w</w:t>
      </w:r>
      <w:r w:rsidR="00D5088B">
        <w:rPr>
          <w:rFonts w:ascii="Verdana" w:hAnsi="Verdana"/>
          <w:sz w:val="20"/>
        </w:rPr>
        <w:t>/w</w:t>
      </w:r>
      <w:r w:rsidRPr="00CC7C1B">
        <w:rPr>
          <w:rFonts w:ascii="Verdana" w:hAnsi="Verdana"/>
          <w:sz w:val="20"/>
        </w:rPr>
        <w:t xml:space="preserve"> Cl) </w:t>
      </w:r>
      <w:r w:rsidR="00CC7C1B" w:rsidRPr="00CC7C1B">
        <w:rPr>
          <w:rFonts w:ascii="Verdana" w:hAnsi="Verdana"/>
          <w:sz w:val="20"/>
        </w:rPr>
        <w:t>is</w:t>
      </w:r>
      <w:r w:rsidRPr="00CC7C1B">
        <w:rPr>
          <w:rFonts w:ascii="Verdana" w:hAnsi="Verdana"/>
          <w:sz w:val="20"/>
        </w:rPr>
        <w:t xml:space="preserve"> used for softening plastics that are subject to higher temperatures during processing.</w:t>
      </w:r>
    </w:p>
    <w:p w14:paraId="57E2E4AE" w14:textId="13660248" w:rsidR="000764E7" w:rsidRDefault="000764E7" w:rsidP="000764E7">
      <w:pPr>
        <w:pStyle w:val="BodyText"/>
      </w:pPr>
      <w:r w:rsidRPr="00CC7C1B">
        <w:rPr>
          <w:rFonts w:ascii="Verdana" w:hAnsi="Verdana"/>
          <w:sz w:val="20"/>
        </w:rPr>
        <w:t xml:space="preserve">Typical applications for PVC products containing </w:t>
      </w:r>
      <w:r w:rsidR="000578F2">
        <w:rPr>
          <w:rFonts w:ascii="Verdana" w:hAnsi="Verdana"/>
          <w:sz w:val="20"/>
        </w:rPr>
        <w:t>MCCPs</w:t>
      </w:r>
      <w:r w:rsidR="00607BBD">
        <w:rPr>
          <w:rFonts w:ascii="Verdana" w:hAnsi="Verdana"/>
          <w:sz w:val="20"/>
        </w:rPr>
        <w:t xml:space="preserve"> </w:t>
      </w:r>
      <w:r w:rsidRPr="00CC7C1B">
        <w:rPr>
          <w:rFonts w:ascii="Verdana" w:hAnsi="Verdana"/>
          <w:sz w:val="20"/>
        </w:rPr>
        <w:t>include cables</w:t>
      </w:r>
      <w:r w:rsidR="00CC7C1B" w:rsidRPr="00CC7C1B">
        <w:rPr>
          <w:rFonts w:ascii="Verdana" w:hAnsi="Verdana"/>
          <w:sz w:val="20"/>
        </w:rPr>
        <w:t>, flooring</w:t>
      </w:r>
      <w:r w:rsidRPr="00CC7C1B">
        <w:rPr>
          <w:rFonts w:ascii="Verdana" w:hAnsi="Verdana"/>
          <w:sz w:val="20"/>
        </w:rPr>
        <w:t xml:space="preserve">, wall coverings and other uses (e.g. general extruded </w:t>
      </w:r>
      <w:r w:rsidR="00CC7C1B" w:rsidRPr="00CC7C1B">
        <w:rPr>
          <w:rFonts w:ascii="Verdana" w:hAnsi="Verdana"/>
          <w:sz w:val="20"/>
        </w:rPr>
        <w:t>and injection moulded articles</w:t>
      </w:r>
      <w:r w:rsidR="00F07637">
        <w:rPr>
          <w:rFonts w:ascii="Verdana" w:hAnsi="Verdana"/>
          <w:sz w:val="20"/>
        </w:rPr>
        <w:t xml:space="preserve">). </w:t>
      </w:r>
      <w:r w:rsidRPr="00CC7C1B">
        <w:rPr>
          <w:rFonts w:ascii="Verdana" w:hAnsi="Verdana"/>
          <w:sz w:val="20"/>
        </w:rPr>
        <w:t xml:space="preserve">A single substitute cannot replace all applications in PVC but a combination of known alternatives could adequately and effectively replace </w:t>
      </w:r>
      <w:r w:rsidR="000578F2">
        <w:rPr>
          <w:rFonts w:ascii="Verdana" w:hAnsi="Verdana"/>
          <w:sz w:val="20"/>
        </w:rPr>
        <w:t>MCCPs</w:t>
      </w:r>
      <w:r w:rsidR="00607BBD">
        <w:rPr>
          <w:rFonts w:ascii="Verdana" w:hAnsi="Verdana"/>
          <w:sz w:val="20"/>
        </w:rPr>
        <w:t>.</w:t>
      </w:r>
      <w:r w:rsidRPr="00CC7C1B">
        <w:rPr>
          <w:rFonts w:ascii="Verdana" w:hAnsi="Verdana"/>
          <w:sz w:val="20"/>
        </w:rPr>
        <w:t xml:space="preserve"> According to the transition dossier, possible alternatives for use in PVC include LCCPs, phthalates (e.g. DINP - these are effective plasticisers but do not provide flame retardant properties) and phosphate esters. Inorganic flame retardants (e.g. aluminium hydroxide, magnesium hydroxide, aluminium polyphosphate, zinc borate and red phosphorus) may perform well at low concentrations, but would need to be used with plasticisers. </w:t>
      </w:r>
    </w:p>
    <w:p w14:paraId="366BC59F" w14:textId="77777777" w:rsidR="000764E7" w:rsidRDefault="000764E7" w:rsidP="000764E7">
      <w:pPr>
        <w:pStyle w:val="BodyText"/>
      </w:pPr>
    </w:p>
    <w:p w14:paraId="66F5B11B" w14:textId="77777777" w:rsidR="00364475" w:rsidRDefault="00364475">
      <w:pPr>
        <w:spacing w:after="0"/>
        <w:rPr>
          <w:rFonts w:ascii="Verdana" w:hAnsi="Verdana"/>
          <w:b/>
          <w:sz w:val="20"/>
          <w:szCs w:val="20"/>
          <w:lang w:val="en-GB"/>
        </w:rPr>
      </w:pPr>
      <w:r>
        <w:rPr>
          <w:rFonts w:ascii="Verdana" w:hAnsi="Verdana"/>
          <w:b/>
          <w:sz w:val="20"/>
        </w:rPr>
        <w:br w:type="page"/>
      </w:r>
    </w:p>
    <w:p w14:paraId="5F893981" w14:textId="2B228930" w:rsidR="000764E7" w:rsidRPr="008D6A19" w:rsidRDefault="000764E7" w:rsidP="000764E7">
      <w:pPr>
        <w:pStyle w:val="BodyText"/>
        <w:rPr>
          <w:rFonts w:ascii="Verdana" w:hAnsi="Verdana"/>
          <w:b/>
          <w:sz w:val="20"/>
        </w:rPr>
      </w:pPr>
      <w:r w:rsidRPr="008D6A19">
        <w:rPr>
          <w:rFonts w:ascii="Verdana" w:hAnsi="Verdana"/>
          <w:b/>
          <w:sz w:val="20"/>
        </w:rPr>
        <w:lastRenderedPageBreak/>
        <w:t xml:space="preserve">Use in paints </w:t>
      </w:r>
    </w:p>
    <w:p w14:paraId="1800453A" w14:textId="707BABDB" w:rsidR="000764E7" w:rsidRPr="008D6A19" w:rsidRDefault="000578F2" w:rsidP="000764E7">
      <w:pPr>
        <w:pStyle w:val="BodyText"/>
        <w:rPr>
          <w:rFonts w:ascii="Verdana" w:hAnsi="Verdana"/>
          <w:sz w:val="20"/>
        </w:rPr>
      </w:pPr>
      <w:r>
        <w:rPr>
          <w:rFonts w:ascii="Verdana" w:hAnsi="Verdana"/>
          <w:sz w:val="20"/>
        </w:rPr>
        <w:t>MCCPs</w:t>
      </w:r>
      <w:r w:rsidR="00607BBD">
        <w:rPr>
          <w:rFonts w:ascii="Verdana" w:hAnsi="Verdana"/>
          <w:sz w:val="20"/>
        </w:rPr>
        <w:t xml:space="preserve"> </w:t>
      </w:r>
      <w:r w:rsidR="008D6A19" w:rsidRPr="008D6A19">
        <w:rPr>
          <w:rFonts w:ascii="Verdana" w:hAnsi="Verdana"/>
          <w:sz w:val="20"/>
        </w:rPr>
        <w:t xml:space="preserve">comprising </w:t>
      </w:r>
      <w:r w:rsidR="000764E7" w:rsidRPr="008D6A19">
        <w:rPr>
          <w:rFonts w:ascii="Verdana" w:hAnsi="Verdana"/>
          <w:sz w:val="20"/>
        </w:rPr>
        <w:t>typically around 50-60% w</w:t>
      </w:r>
      <w:r w:rsidR="00D5088B">
        <w:rPr>
          <w:rFonts w:ascii="Verdana" w:hAnsi="Verdana"/>
          <w:sz w:val="20"/>
        </w:rPr>
        <w:t>/w</w:t>
      </w:r>
      <w:r w:rsidR="000764E7" w:rsidRPr="008D6A19">
        <w:rPr>
          <w:rFonts w:ascii="Verdana" w:hAnsi="Verdana"/>
          <w:sz w:val="20"/>
        </w:rPr>
        <w:t xml:space="preserve"> Cl (though 40% w</w:t>
      </w:r>
      <w:r w:rsidR="00D5088B">
        <w:rPr>
          <w:rFonts w:ascii="Verdana" w:hAnsi="Verdana"/>
          <w:sz w:val="20"/>
        </w:rPr>
        <w:t>/w</w:t>
      </w:r>
      <w:r w:rsidR="000764E7" w:rsidRPr="008D6A19">
        <w:rPr>
          <w:rFonts w:ascii="Verdana" w:hAnsi="Verdana"/>
          <w:sz w:val="20"/>
        </w:rPr>
        <w:t xml:space="preserve"> Cl to 70% </w:t>
      </w:r>
      <w:r w:rsidR="00D5088B">
        <w:rPr>
          <w:rFonts w:ascii="Verdana" w:hAnsi="Verdana"/>
          <w:sz w:val="20"/>
        </w:rPr>
        <w:t>w/w</w:t>
      </w:r>
      <w:r w:rsidR="000764E7" w:rsidRPr="008D6A19">
        <w:rPr>
          <w:rFonts w:ascii="Verdana" w:hAnsi="Verdana"/>
          <w:sz w:val="20"/>
        </w:rPr>
        <w:t xml:space="preserve"> Cl are used) </w:t>
      </w:r>
      <w:r w:rsidR="00D2081D">
        <w:rPr>
          <w:rFonts w:ascii="Verdana" w:hAnsi="Verdana"/>
          <w:sz w:val="20"/>
        </w:rPr>
        <w:t>is</w:t>
      </w:r>
      <w:r w:rsidR="000764E7" w:rsidRPr="008D6A19">
        <w:rPr>
          <w:rFonts w:ascii="Verdana" w:hAnsi="Verdana"/>
          <w:sz w:val="20"/>
        </w:rPr>
        <w:t xml:space="preserve"> used in paints and other coatings</w:t>
      </w:r>
      <w:r w:rsidR="008D6A19" w:rsidRPr="008D6A19">
        <w:rPr>
          <w:rFonts w:ascii="Verdana" w:hAnsi="Verdana"/>
          <w:sz w:val="20"/>
        </w:rPr>
        <w:t>. They are</w:t>
      </w:r>
      <w:r w:rsidR="000764E7" w:rsidRPr="008D6A19">
        <w:rPr>
          <w:rFonts w:ascii="Verdana" w:hAnsi="Verdana"/>
          <w:sz w:val="20"/>
        </w:rPr>
        <w:t xml:space="preserve"> based on various resin types, but most commonly chlorinated rubber or vinyl copolymers. They act as viscosity modifiers, adhesion promoters and maintain flexibility of the coating in addition to their flame retardant properties. They are generally retained within the paint over its lifetime and primarily have a plasticising effect, reducing cracking and detachment of paints with good colour retention compared to some alternatives. Typical applications are for corrosion- or weather-resistant coatings: chlorinated rubber-based paints are used in marine and industrial environments, whilst vinyl copolymer-based paints tend to be used on exterior masonry. Other applications include sealers and coatings for concrete; general purpose primers and undercoats for structural steel; roof coatings; swimming pool paints; chemical resistant coatings; high humidity resistant coatings; security fencing paints; damp-proof paints; flame retardant coatings for wood and paper; road markings; and industrial floor coatings. </w:t>
      </w:r>
    </w:p>
    <w:p w14:paraId="25172B56" w14:textId="76EFBD7A" w:rsidR="000764E7" w:rsidRPr="008D6A19" w:rsidRDefault="000764E7" w:rsidP="000764E7">
      <w:pPr>
        <w:pStyle w:val="BodyText"/>
        <w:rPr>
          <w:rFonts w:ascii="Verdana" w:hAnsi="Verdana"/>
          <w:sz w:val="20"/>
        </w:rPr>
      </w:pPr>
      <w:r w:rsidRPr="008D6A19">
        <w:rPr>
          <w:rFonts w:ascii="Verdana" w:hAnsi="Verdana"/>
          <w:sz w:val="20"/>
        </w:rPr>
        <w:t xml:space="preserve">The typical level of </w:t>
      </w:r>
      <w:r w:rsidR="000578F2">
        <w:rPr>
          <w:rFonts w:ascii="Verdana" w:hAnsi="Verdana"/>
          <w:sz w:val="20"/>
        </w:rPr>
        <w:t>MCCPs</w:t>
      </w:r>
      <w:r w:rsidR="00607BBD">
        <w:rPr>
          <w:rFonts w:ascii="Verdana" w:hAnsi="Verdana"/>
          <w:sz w:val="20"/>
        </w:rPr>
        <w:t xml:space="preserve"> </w:t>
      </w:r>
      <w:r w:rsidRPr="008D6A19">
        <w:rPr>
          <w:rFonts w:ascii="Verdana" w:hAnsi="Verdana"/>
          <w:sz w:val="20"/>
        </w:rPr>
        <w:t xml:space="preserve">in formulated paint is 4-15% w/w. After drying (evaporation of solvent) the content increases to around 5-20% w/w. </w:t>
      </w:r>
    </w:p>
    <w:p w14:paraId="0F963AC9" w14:textId="4986DCE9" w:rsidR="000764E7" w:rsidRPr="008D6A19" w:rsidRDefault="000764E7" w:rsidP="000764E7">
      <w:pPr>
        <w:pStyle w:val="BodyText"/>
        <w:rPr>
          <w:rFonts w:ascii="Verdana" w:hAnsi="Verdana"/>
          <w:sz w:val="20"/>
        </w:rPr>
      </w:pPr>
      <w:r w:rsidRPr="008D6A19">
        <w:rPr>
          <w:rFonts w:ascii="Verdana" w:hAnsi="Verdana"/>
          <w:sz w:val="20"/>
        </w:rPr>
        <w:t xml:space="preserve">Around 30 sites in the UK manufactured paints and coatings containing </w:t>
      </w:r>
      <w:r w:rsidR="000578F2">
        <w:rPr>
          <w:rFonts w:ascii="Verdana" w:hAnsi="Verdana"/>
          <w:sz w:val="20"/>
        </w:rPr>
        <w:t>MCCPs</w:t>
      </w:r>
      <w:r w:rsidR="00607BBD">
        <w:rPr>
          <w:rFonts w:ascii="Verdana" w:hAnsi="Verdana"/>
          <w:sz w:val="20"/>
        </w:rPr>
        <w:t xml:space="preserve"> </w:t>
      </w:r>
      <w:r w:rsidRPr="008D6A19">
        <w:rPr>
          <w:rFonts w:ascii="Verdana" w:hAnsi="Verdana"/>
          <w:sz w:val="20"/>
        </w:rPr>
        <w:t xml:space="preserve">in 1999. The </w:t>
      </w:r>
      <w:r w:rsidR="000578F2">
        <w:rPr>
          <w:rFonts w:ascii="Verdana" w:hAnsi="Verdana"/>
          <w:sz w:val="20"/>
        </w:rPr>
        <w:t>MCCPs</w:t>
      </w:r>
      <w:r w:rsidRPr="008D6A19">
        <w:rPr>
          <w:rFonts w:ascii="Verdana" w:hAnsi="Verdana"/>
          <w:sz w:val="20"/>
        </w:rPr>
        <w:t xml:space="preserve">-containing paint made up only a very small proportion of the total paint manufactured at each site (typically &lt;1-2% of the total, up to 5% in some cases). The major users are professional painters and specialist applicators, but some </w:t>
      </w:r>
      <w:r w:rsidR="00556A7F">
        <w:rPr>
          <w:rFonts w:ascii="Verdana" w:hAnsi="Verdana"/>
          <w:sz w:val="20"/>
        </w:rPr>
        <w:t>‘do-it-yourself’ (</w:t>
      </w:r>
      <w:r w:rsidRPr="008D6A19">
        <w:rPr>
          <w:rFonts w:ascii="Verdana" w:hAnsi="Verdana"/>
          <w:sz w:val="20"/>
        </w:rPr>
        <w:t>DIY</w:t>
      </w:r>
      <w:r w:rsidR="00556A7F">
        <w:rPr>
          <w:rFonts w:ascii="Verdana" w:hAnsi="Verdana"/>
          <w:sz w:val="20"/>
        </w:rPr>
        <w:t>)</w:t>
      </w:r>
      <w:r w:rsidRPr="008D6A19">
        <w:rPr>
          <w:rFonts w:ascii="Verdana" w:hAnsi="Verdana"/>
          <w:sz w:val="20"/>
        </w:rPr>
        <w:t xml:space="preserve"> paints containing </w:t>
      </w:r>
      <w:r w:rsidR="000578F2">
        <w:rPr>
          <w:rFonts w:ascii="Verdana" w:hAnsi="Verdana"/>
          <w:sz w:val="20"/>
        </w:rPr>
        <w:t>MCCPs</w:t>
      </w:r>
      <w:r w:rsidRPr="008D6A19">
        <w:rPr>
          <w:rFonts w:ascii="Verdana" w:hAnsi="Verdana"/>
          <w:sz w:val="20"/>
        </w:rPr>
        <w:t xml:space="preserve"> may be used by the general public. Based on information gathered in a survey by the British Coatings Federation in 1999, it was estimated that for the UK there would be around 40</w:t>
      </w:r>
      <w:r w:rsidR="00556A7F">
        <w:rPr>
          <w:rFonts w:ascii="Verdana" w:hAnsi="Verdana"/>
          <w:sz w:val="20"/>
        </w:rPr>
        <w:t xml:space="preserve"> </w:t>
      </w:r>
      <w:r w:rsidRPr="008D6A19">
        <w:rPr>
          <w:rFonts w:ascii="Verdana" w:hAnsi="Verdana"/>
          <w:sz w:val="20"/>
        </w:rPr>
        <w:t xml:space="preserve">000 users of coatings containing </w:t>
      </w:r>
      <w:r w:rsidR="000578F2">
        <w:rPr>
          <w:rFonts w:ascii="Verdana" w:hAnsi="Verdana"/>
          <w:sz w:val="20"/>
        </w:rPr>
        <w:t>MCCPs</w:t>
      </w:r>
      <w:r w:rsidRPr="008D6A19">
        <w:rPr>
          <w:rFonts w:ascii="Verdana" w:hAnsi="Verdana"/>
          <w:sz w:val="20"/>
        </w:rPr>
        <w:t xml:space="preserve"> for water proofing of walls, with around 1</w:t>
      </w:r>
      <w:r w:rsidR="00556A7F">
        <w:rPr>
          <w:rFonts w:ascii="Verdana" w:hAnsi="Verdana"/>
          <w:sz w:val="20"/>
        </w:rPr>
        <w:t xml:space="preserve"> </w:t>
      </w:r>
      <w:r w:rsidRPr="008D6A19">
        <w:rPr>
          <w:rFonts w:ascii="Verdana" w:hAnsi="Verdana"/>
          <w:sz w:val="20"/>
        </w:rPr>
        <w:t>000-1</w:t>
      </w:r>
      <w:r w:rsidR="00556A7F">
        <w:rPr>
          <w:rFonts w:ascii="Verdana" w:hAnsi="Verdana"/>
          <w:sz w:val="20"/>
        </w:rPr>
        <w:t xml:space="preserve"> </w:t>
      </w:r>
      <w:r w:rsidRPr="008D6A19">
        <w:rPr>
          <w:rFonts w:ascii="Verdana" w:hAnsi="Verdana"/>
          <w:sz w:val="20"/>
        </w:rPr>
        <w:t xml:space="preserve">500 users of paints and coatings for other uses. It is not known how many of these would be professional and how many DIY users. The quantity of paint produced using </w:t>
      </w:r>
      <w:r w:rsidR="000578F2">
        <w:rPr>
          <w:rFonts w:ascii="Verdana" w:hAnsi="Verdana"/>
          <w:sz w:val="20"/>
        </w:rPr>
        <w:t>MCCPs</w:t>
      </w:r>
      <w:r w:rsidRPr="008D6A19">
        <w:rPr>
          <w:rFonts w:ascii="Verdana" w:hAnsi="Verdana"/>
          <w:sz w:val="20"/>
        </w:rPr>
        <w:t xml:space="preserve"> represents ~1% of EU paint sales.</w:t>
      </w:r>
    </w:p>
    <w:p w14:paraId="410A0906" w14:textId="55D5A29F" w:rsidR="000764E7" w:rsidRPr="008D6A19" w:rsidRDefault="000764E7" w:rsidP="000764E7">
      <w:pPr>
        <w:pStyle w:val="BodyText"/>
        <w:rPr>
          <w:rFonts w:ascii="Verdana" w:hAnsi="Verdana"/>
          <w:sz w:val="20"/>
        </w:rPr>
      </w:pPr>
      <w:r w:rsidRPr="008D6A19">
        <w:rPr>
          <w:rFonts w:ascii="Verdana" w:hAnsi="Verdana"/>
          <w:sz w:val="20"/>
        </w:rPr>
        <w:t xml:space="preserve">Possible alternatives </w:t>
      </w:r>
      <w:r w:rsidR="008D6A19" w:rsidRPr="008D6A19">
        <w:rPr>
          <w:rFonts w:ascii="Verdana" w:hAnsi="Verdana"/>
          <w:sz w:val="20"/>
        </w:rPr>
        <w:t xml:space="preserve">to </w:t>
      </w:r>
      <w:r w:rsidR="000578F2">
        <w:rPr>
          <w:rFonts w:ascii="Verdana" w:hAnsi="Verdana"/>
          <w:sz w:val="20"/>
        </w:rPr>
        <w:t>MCCPs</w:t>
      </w:r>
      <w:r w:rsidR="00607BBD">
        <w:rPr>
          <w:rFonts w:ascii="Verdana" w:hAnsi="Verdana"/>
          <w:sz w:val="20"/>
        </w:rPr>
        <w:t xml:space="preserve"> </w:t>
      </w:r>
      <w:r w:rsidRPr="008D6A19">
        <w:rPr>
          <w:rFonts w:ascii="Verdana" w:hAnsi="Verdana"/>
          <w:sz w:val="20"/>
        </w:rPr>
        <w:t xml:space="preserve">for paint applications include LCCPs and </w:t>
      </w:r>
      <w:proofErr w:type="spellStart"/>
      <w:r w:rsidRPr="008D6A19">
        <w:rPr>
          <w:rFonts w:ascii="Verdana" w:hAnsi="Verdana"/>
          <w:sz w:val="20"/>
        </w:rPr>
        <w:t>polybutenes</w:t>
      </w:r>
      <w:proofErr w:type="spellEnd"/>
      <w:r w:rsidRPr="008D6A19">
        <w:rPr>
          <w:rFonts w:ascii="Verdana" w:hAnsi="Verdana"/>
          <w:sz w:val="20"/>
        </w:rPr>
        <w:t>.</w:t>
      </w:r>
    </w:p>
    <w:p w14:paraId="2A268196" w14:textId="7FD4A82B" w:rsidR="000764E7" w:rsidRPr="008D6A19" w:rsidRDefault="000764E7" w:rsidP="000764E7">
      <w:pPr>
        <w:pStyle w:val="BodyText"/>
        <w:rPr>
          <w:rFonts w:ascii="Verdana" w:hAnsi="Verdana"/>
          <w:b/>
          <w:sz w:val="20"/>
        </w:rPr>
      </w:pPr>
      <w:r w:rsidRPr="008D6A19">
        <w:rPr>
          <w:rFonts w:ascii="Verdana" w:hAnsi="Verdana"/>
          <w:b/>
          <w:sz w:val="20"/>
        </w:rPr>
        <w:t xml:space="preserve">Use in adhesives and sealants </w:t>
      </w:r>
    </w:p>
    <w:p w14:paraId="757B6E1D" w14:textId="144F8522" w:rsidR="000764E7" w:rsidRPr="008D6A19" w:rsidRDefault="000578F2" w:rsidP="000764E7">
      <w:pPr>
        <w:pStyle w:val="BodyText"/>
        <w:rPr>
          <w:rFonts w:ascii="Verdana" w:hAnsi="Verdana"/>
          <w:sz w:val="20"/>
        </w:rPr>
      </w:pPr>
      <w:r>
        <w:rPr>
          <w:rFonts w:ascii="Verdana" w:hAnsi="Verdana"/>
          <w:sz w:val="20"/>
        </w:rPr>
        <w:t>MCCPs</w:t>
      </w:r>
      <w:r w:rsidR="00607BBD">
        <w:rPr>
          <w:rFonts w:ascii="Verdana" w:hAnsi="Verdana"/>
          <w:sz w:val="20"/>
        </w:rPr>
        <w:t xml:space="preserve"> </w:t>
      </w:r>
      <w:r w:rsidR="000764E7" w:rsidRPr="008D6A19">
        <w:rPr>
          <w:rFonts w:ascii="Verdana" w:hAnsi="Verdana"/>
          <w:sz w:val="20"/>
        </w:rPr>
        <w:t>is used in poly</w:t>
      </w:r>
      <w:r w:rsidR="00367D7E">
        <w:rPr>
          <w:rFonts w:ascii="Verdana" w:hAnsi="Verdana"/>
          <w:sz w:val="20"/>
        </w:rPr>
        <w:t>sulf</w:t>
      </w:r>
      <w:r w:rsidR="000764E7" w:rsidRPr="008D6A19">
        <w:rPr>
          <w:rFonts w:ascii="Verdana" w:hAnsi="Verdana"/>
          <w:sz w:val="20"/>
        </w:rPr>
        <w:t xml:space="preserve">ide, polyurethane, acrylic and butyl sealants for use in building and construction, including double and triple glazed windows. They are typically added at amounts of 10-14% w/w of the final sealant but could be added at amounts up to 20% w/w in exceptional cases. The </w:t>
      </w:r>
      <w:r>
        <w:rPr>
          <w:rFonts w:ascii="Verdana" w:hAnsi="Verdana"/>
          <w:sz w:val="20"/>
        </w:rPr>
        <w:t>MCCPs</w:t>
      </w:r>
      <w:r w:rsidR="00607BBD">
        <w:rPr>
          <w:rFonts w:ascii="Verdana" w:hAnsi="Verdana"/>
          <w:sz w:val="20"/>
        </w:rPr>
        <w:t xml:space="preserve"> </w:t>
      </w:r>
      <w:r w:rsidR="000764E7" w:rsidRPr="008D6A19">
        <w:rPr>
          <w:rFonts w:ascii="Verdana" w:hAnsi="Verdana"/>
          <w:sz w:val="20"/>
        </w:rPr>
        <w:t>used in these applications generally ha</w:t>
      </w:r>
      <w:r w:rsidR="00D2081D">
        <w:rPr>
          <w:rFonts w:ascii="Verdana" w:hAnsi="Verdana"/>
          <w:sz w:val="20"/>
        </w:rPr>
        <w:t>s</w:t>
      </w:r>
      <w:r w:rsidR="000764E7" w:rsidRPr="008D6A19">
        <w:rPr>
          <w:rFonts w:ascii="Verdana" w:hAnsi="Verdana"/>
          <w:sz w:val="20"/>
        </w:rPr>
        <w:t xml:space="preserve"> a chlorine content of 50-58% </w:t>
      </w:r>
      <w:r w:rsidR="00D5088B">
        <w:rPr>
          <w:rFonts w:ascii="Verdana" w:hAnsi="Verdana"/>
          <w:sz w:val="20"/>
        </w:rPr>
        <w:t>w/w</w:t>
      </w:r>
      <w:r w:rsidR="000764E7" w:rsidRPr="008D6A19">
        <w:rPr>
          <w:rFonts w:ascii="Verdana" w:hAnsi="Verdana"/>
          <w:sz w:val="20"/>
        </w:rPr>
        <w:t xml:space="preserve"> Cl. They are primarily used for their plasticising and flame retardant properties although their low water solubility also imparts benefits for use in aggressive biological environments. </w:t>
      </w:r>
    </w:p>
    <w:p w14:paraId="73971B20" w14:textId="62233847" w:rsidR="000764E7" w:rsidRPr="008D6A19" w:rsidRDefault="000764E7" w:rsidP="000764E7">
      <w:pPr>
        <w:pStyle w:val="BodyText"/>
        <w:rPr>
          <w:rFonts w:ascii="Verdana" w:hAnsi="Verdana"/>
          <w:sz w:val="20"/>
        </w:rPr>
      </w:pPr>
      <w:proofErr w:type="spellStart"/>
      <w:r w:rsidRPr="008D6A19">
        <w:rPr>
          <w:rFonts w:ascii="Verdana" w:hAnsi="Verdana"/>
          <w:sz w:val="20"/>
        </w:rPr>
        <w:t>Terphenyls</w:t>
      </w:r>
      <w:proofErr w:type="spellEnd"/>
      <w:r w:rsidRPr="008D6A19">
        <w:rPr>
          <w:rFonts w:ascii="Verdana" w:hAnsi="Verdana"/>
          <w:sz w:val="20"/>
        </w:rPr>
        <w:t xml:space="preserve"> have been identified as alternatives for poly</w:t>
      </w:r>
      <w:r w:rsidR="00367D7E">
        <w:rPr>
          <w:rFonts w:ascii="Verdana" w:hAnsi="Verdana"/>
          <w:sz w:val="20"/>
        </w:rPr>
        <w:t>sulf</w:t>
      </w:r>
      <w:r w:rsidRPr="008D6A19">
        <w:rPr>
          <w:rFonts w:ascii="Verdana" w:hAnsi="Verdana"/>
          <w:sz w:val="20"/>
        </w:rPr>
        <w:t xml:space="preserve">ide sealants, </w:t>
      </w:r>
      <w:r w:rsidR="00D54BA6">
        <w:rPr>
          <w:rFonts w:ascii="Verdana" w:hAnsi="Verdana"/>
          <w:sz w:val="20"/>
        </w:rPr>
        <w:t>but</w:t>
      </w:r>
      <w:r w:rsidRPr="008D6A19">
        <w:rPr>
          <w:rFonts w:ascii="Verdana" w:hAnsi="Verdana"/>
          <w:sz w:val="20"/>
        </w:rPr>
        <w:t xml:space="preserve"> they apparently have inferior technical characteristics</w:t>
      </w:r>
      <w:r w:rsidR="00D54BA6">
        <w:rPr>
          <w:rFonts w:ascii="Verdana" w:hAnsi="Verdana"/>
          <w:sz w:val="20"/>
        </w:rPr>
        <w:t xml:space="preserve"> and </w:t>
      </w:r>
      <w:r w:rsidR="00F563E7">
        <w:rPr>
          <w:rFonts w:ascii="Verdana" w:hAnsi="Verdana"/>
          <w:sz w:val="20"/>
        </w:rPr>
        <w:t xml:space="preserve">hydrogenated </w:t>
      </w:r>
      <w:proofErr w:type="spellStart"/>
      <w:r w:rsidR="00F563E7">
        <w:rPr>
          <w:rFonts w:ascii="Verdana" w:hAnsi="Verdana"/>
          <w:sz w:val="20"/>
        </w:rPr>
        <w:t>terphenyls</w:t>
      </w:r>
      <w:proofErr w:type="spellEnd"/>
      <w:r w:rsidR="00F563E7">
        <w:rPr>
          <w:rFonts w:ascii="Verdana" w:hAnsi="Verdana"/>
          <w:sz w:val="20"/>
        </w:rPr>
        <w:t xml:space="preserve"> are SVHCs (</w:t>
      </w:r>
      <w:r w:rsidR="00D54BA6">
        <w:rPr>
          <w:rFonts w:ascii="Verdana" w:hAnsi="Verdana"/>
          <w:sz w:val="20"/>
        </w:rPr>
        <w:t>vPvB</w:t>
      </w:r>
      <w:r w:rsidR="00F563E7">
        <w:rPr>
          <w:rFonts w:ascii="Verdana" w:hAnsi="Verdana"/>
          <w:sz w:val="20"/>
        </w:rPr>
        <w:t>)</w:t>
      </w:r>
      <w:r w:rsidRPr="008D6A19">
        <w:rPr>
          <w:rFonts w:ascii="Verdana" w:hAnsi="Verdana"/>
          <w:sz w:val="20"/>
        </w:rPr>
        <w:t>.</w:t>
      </w:r>
    </w:p>
    <w:p w14:paraId="09B4B036" w14:textId="41CA8675" w:rsidR="000764E7" w:rsidRPr="000F36AF" w:rsidRDefault="000764E7" w:rsidP="000764E7">
      <w:pPr>
        <w:pStyle w:val="BodyText"/>
        <w:rPr>
          <w:rFonts w:ascii="Verdana" w:hAnsi="Verdana"/>
          <w:b/>
          <w:sz w:val="20"/>
        </w:rPr>
      </w:pPr>
      <w:r w:rsidRPr="000F36AF">
        <w:rPr>
          <w:rFonts w:ascii="Verdana" w:hAnsi="Verdana"/>
          <w:b/>
          <w:sz w:val="20"/>
        </w:rPr>
        <w:t xml:space="preserve">Use in metalworking/cutting fluids </w:t>
      </w:r>
    </w:p>
    <w:p w14:paraId="5F48D9F6" w14:textId="510FA4AB" w:rsidR="000764E7" w:rsidRPr="000C6C0E" w:rsidRDefault="000764E7" w:rsidP="000764E7">
      <w:pPr>
        <w:pStyle w:val="BodyText"/>
        <w:rPr>
          <w:rFonts w:ascii="Verdana" w:hAnsi="Verdana"/>
          <w:sz w:val="20"/>
        </w:rPr>
      </w:pPr>
      <w:r w:rsidRPr="000C6C0E">
        <w:rPr>
          <w:rFonts w:ascii="Verdana" w:hAnsi="Verdana"/>
          <w:sz w:val="20"/>
        </w:rPr>
        <w:t xml:space="preserve">Metalworking fluids remove deformation heat and friction heat arising during metal cutting, grinding and forming operations and additionally flush away </w:t>
      </w:r>
      <w:r w:rsidR="008D6A19" w:rsidRPr="000C6C0E">
        <w:rPr>
          <w:rFonts w:ascii="Verdana" w:hAnsi="Verdana"/>
          <w:sz w:val="20"/>
        </w:rPr>
        <w:t xml:space="preserve">chips and prevent dusting. </w:t>
      </w:r>
      <w:r w:rsidR="000578F2">
        <w:rPr>
          <w:rFonts w:ascii="Verdana" w:hAnsi="Verdana"/>
          <w:sz w:val="20"/>
        </w:rPr>
        <w:t>MCCPs</w:t>
      </w:r>
      <w:r w:rsidR="00607BBD">
        <w:rPr>
          <w:rFonts w:ascii="Verdana" w:hAnsi="Verdana"/>
          <w:sz w:val="20"/>
        </w:rPr>
        <w:t xml:space="preserve"> </w:t>
      </w:r>
      <w:r w:rsidRPr="000C6C0E">
        <w:rPr>
          <w:rFonts w:ascii="Verdana" w:hAnsi="Verdana"/>
          <w:sz w:val="20"/>
        </w:rPr>
        <w:t>can be used in neat (oil-based) and water-</w:t>
      </w:r>
      <w:proofErr w:type="spellStart"/>
      <w:r w:rsidRPr="000C6C0E">
        <w:rPr>
          <w:rFonts w:ascii="Verdana" w:hAnsi="Verdana"/>
          <w:sz w:val="20"/>
        </w:rPr>
        <w:t>emulsifiable</w:t>
      </w:r>
      <w:proofErr w:type="spellEnd"/>
      <w:r w:rsidRPr="000C6C0E">
        <w:rPr>
          <w:rFonts w:ascii="Verdana" w:hAnsi="Verdana"/>
          <w:sz w:val="20"/>
        </w:rPr>
        <w:t xml:space="preserve"> metalworking fluids (water emulsions tend to be used for cooling), as well as greases and gear oils for industrial and automotive applications. </w:t>
      </w:r>
      <w:r w:rsidR="008D6A19" w:rsidRPr="000C6C0E">
        <w:rPr>
          <w:rFonts w:ascii="Verdana" w:hAnsi="Verdana"/>
          <w:sz w:val="20"/>
        </w:rPr>
        <w:t>It</w:t>
      </w:r>
      <w:r w:rsidRPr="000C6C0E">
        <w:rPr>
          <w:rFonts w:ascii="Verdana" w:hAnsi="Verdana"/>
          <w:sz w:val="20"/>
        </w:rPr>
        <w:t xml:space="preserve"> enhance</w:t>
      </w:r>
      <w:r w:rsidR="008D6A19" w:rsidRPr="000C6C0E">
        <w:rPr>
          <w:rFonts w:ascii="Verdana" w:hAnsi="Verdana"/>
          <w:sz w:val="20"/>
        </w:rPr>
        <w:t xml:space="preserve">s </w:t>
      </w:r>
      <w:r w:rsidRPr="000C6C0E">
        <w:rPr>
          <w:rFonts w:ascii="Verdana" w:hAnsi="Verdana"/>
          <w:sz w:val="20"/>
        </w:rPr>
        <w:t xml:space="preserve">lubrication and surface finish in metalworking and forming applications requiring the use of extreme pressures. </w:t>
      </w:r>
      <w:r w:rsidR="000578F2">
        <w:rPr>
          <w:rFonts w:ascii="Verdana" w:hAnsi="Verdana"/>
          <w:sz w:val="20"/>
        </w:rPr>
        <w:t>MCCPs</w:t>
      </w:r>
      <w:r w:rsidR="00607BBD">
        <w:rPr>
          <w:rFonts w:ascii="Verdana" w:hAnsi="Verdana"/>
          <w:sz w:val="20"/>
        </w:rPr>
        <w:t xml:space="preserve"> </w:t>
      </w:r>
      <w:r w:rsidRPr="000C6C0E">
        <w:rPr>
          <w:rFonts w:ascii="Verdana" w:hAnsi="Verdana"/>
          <w:sz w:val="20"/>
        </w:rPr>
        <w:t xml:space="preserve">can be used across a wider temperature range than many alternatives and </w:t>
      </w:r>
      <w:r w:rsidR="000C6C0E" w:rsidRPr="000C6C0E">
        <w:rPr>
          <w:rFonts w:ascii="Verdana" w:hAnsi="Verdana"/>
          <w:sz w:val="20"/>
        </w:rPr>
        <w:t>is</w:t>
      </w:r>
      <w:r w:rsidRPr="000C6C0E">
        <w:rPr>
          <w:rFonts w:ascii="Verdana" w:hAnsi="Verdana"/>
          <w:sz w:val="20"/>
        </w:rPr>
        <w:t xml:space="preserve"> particularly suitable for low temperature applications. </w:t>
      </w:r>
    </w:p>
    <w:p w14:paraId="61CEA436" w14:textId="78ECB119" w:rsidR="000764E7" w:rsidRPr="000C6C0E" w:rsidRDefault="000764E7" w:rsidP="000764E7">
      <w:pPr>
        <w:pStyle w:val="BodyText"/>
        <w:rPr>
          <w:rFonts w:ascii="Verdana" w:hAnsi="Verdana"/>
          <w:sz w:val="20"/>
        </w:rPr>
      </w:pPr>
      <w:r w:rsidRPr="000C6C0E">
        <w:rPr>
          <w:rFonts w:ascii="Verdana" w:hAnsi="Verdana"/>
          <w:sz w:val="20"/>
        </w:rPr>
        <w:lastRenderedPageBreak/>
        <w:t xml:space="preserve">The </w:t>
      </w:r>
      <w:r w:rsidR="000578F2">
        <w:rPr>
          <w:rFonts w:ascii="Verdana" w:hAnsi="Verdana"/>
          <w:sz w:val="20"/>
        </w:rPr>
        <w:t>MCCPs</w:t>
      </w:r>
      <w:r w:rsidR="00607BBD">
        <w:rPr>
          <w:rFonts w:ascii="Verdana" w:hAnsi="Verdana"/>
          <w:sz w:val="20"/>
        </w:rPr>
        <w:t xml:space="preserve"> </w:t>
      </w:r>
      <w:r w:rsidRPr="000C6C0E">
        <w:rPr>
          <w:rFonts w:ascii="Verdana" w:hAnsi="Verdana"/>
          <w:sz w:val="20"/>
        </w:rPr>
        <w:t>used generally ha</w:t>
      </w:r>
      <w:r w:rsidR="000C6C0E" w:rsidRPr="000C6C0E">
        <w:rPr>
          <w:rFonts w:ascii="Verdana" w:hAnsi="Verdana"/>
          <w:sz w:val="20"/>
        </w:rPr>
        <w:t>s</w:t>
      </w:r>
      <w:r w:rsidRPr="000C6C0E">
        <w:rPr>
          <w:rFonts w:ascii="Verdana" w:hAnsi="Verdana"/>
          <w:sz w:val="20"/>
        </w:rPr>
        <w:t xml:space="preserve"> a chlorine content of between 40 and 55% </w:t>
      </w:r>
      <w:r w:rsidR="00D5088B">
        <w:rPr>
          <w:rFonts w:ascii="Verdana" w:hAnsi="Verdana"/>
          <w:sz w:val="20"/>
        </w:rPr>
        <w:t>w/w</w:t>
      </w:r>
      <w:r w:rsidRPr="000C6C0E">
        <w:rPr>
          <w:rFonts w:ascii="Verdana" w:hAnsi="Verdana"/>
          <w:sz w:val="20"/>
        </w:rPr>
        <w:t xml:space="preserve"> Cl. The amount present in a given fluid depends on the final application: </w:t>
      </w:r>
    </w:p>
    <w:p w14:paraId="45149CB1" w14:textId="0F978216" w:rsidR="000764E7" w:rsidRPr="000C6C0E" w:rsidRDefault="000764E7" w:rsidP="00943C49">
      <w:pPr>
        <w:pStyle w:val="BodyText"/>
        <w:numPr>
          <w:ilvl w:val="0"/>
          <w:numId w:val="15"/>
        </w:numPr>
        <w:rPr>
          <w:rFonts w:ascii="Verdana" w:hAnsi="Verdana"/>
          <w:sz w:val="20"/>
        </w:rPr>
      </w:pPr>
      <w:r w:rsidRPr="000C6C0E">
        <w:rPr>
          <w:rFonts w:ascii="Verdana" w:hAnsi="Verdana"/>
          <w:sz w:val="20"/>
        </w:rPr>
        <w:t xml:space="preserve">the content in oil-based fluids ranges from about 5% w/w for light machining to up to 70% w/w for heavy drawing processes (metal forming fluids); </w:t>
      </w:r>
    </w:p>
    <w:p w14:paraId="28BB5599" w14:textId="3B8327C8" w:rsidR="000764E7" w:rsidRPr="000C6C0E" w:rsidRDefault="000578F2" w:rsidP="00943C49">
      <w:pPr>
        <w:pStyle w:val="BodyText"/>
        <w:numPr>
          <w:ilvl w:val="0"/>
          <w:numId w:val="15"/>
        </w:numPr>
        <w:rPr>
          <w:rFonts w:ascii="Verdana" w:hAnsi="Verdana"/>
          <w:sz w:val="20"/>
        </w:rPr>
      </w:pPr>
      <w:r>
        <w:rPr>
          <w:rFonts w:ascii="Verdana" w:hAnsi="Verdana"/>
          <w:sz w:val="20"/>
        </w:rPr>
        <w:t>MCCPs</w:t>
      </w:r>
      <w:r w:rsidR="00607BBD">
        <w:rPr>
          <w:rFonts w:ascii="Verdana" w:hAnsi="Verdana"/>
          <w:sz w:val="20"/>
        </w:rPr>
        <w:t xml:space="preserve"> </w:t>
      </w:r>
      <w:r w:rsidR="000764E7" w:rsidRPr="000C6C0E">
        <w:rPr>
          <w:rFonts w:ascii="Verdana" w:hAnsi="Verdana"/>
          <w:sz w:val="20"/>
        </w:rPr>
        <w:t xml:space="preserve">content in water-based cooling lubricant concentrate is up to 8% w/w (the concentration in the final water-based fluid is around 0.4% w/w; this emulsion is used in grinding, rough machining and sawing applications). </w:t>
      </w:r>
    </w:p>
    <w:p w14:paraId="76C2B3D7" w14:textId="77777777" w:rsidR="000764E7" w:rsidRPr="000C6C0E" w:rsidRDefault="000764E7" w:rsidP="000764E7">
      <w:pPr>
        <w:pStyle w:val="BodyText"/>
        <w:rPr>
          <w:rFonts w:ascii="Verdana" w:hAnsi="Verdana"/>
          <w:sz w:val="20"/>
        </w:rPr>
      </w:pPr>
      <w:r w:rsidRPr="000C6C0E">
        <w:rPr>
          <w:rFonts w:ascii="Verdana" w:hAnsi="Verdana"/>
          <w:sz w:val="20"/>
        </w:rPr>
        <w:t xml:space="preserve">Whilst companies of all sizes are understood to use either neat or </w:t>
      </w:r>
      <w:proofErr w:type="spellStart"/>
      <w:r w:rsidRPr="000C6C0E">
        <w:rPr>
          <w:rFonts w:ascii="Verdana" w:hAnsi="Verdana"/>
          <w:sz w:val="20"/>
        </w:rPr>
        <w:t>emulsifiable</w:t>
      </w:r>
      <w:proofErr w:type="spellEnd"/>
      <w:r w:rsidRPr="000C6C0E">
        <w:rPr>
          <w:rFonts w:ascii="Verdana" w:hAnsi="Verdana"/>
          <w:sz w:val="20"/>
        </w:rPr>
        <w:t xml:space="preserve"> metalworking fluids (or both), machines at smaller companies generally have smaller sumps and hence require only small quantities of metalworking fluid (of the order of a few litres). Smaller companies will often undertake less arduous machining and hence will more often use water miscible fluids (this also helps to keep down costs). Large machines may have sumps of several hundred or even several thousand litres. </w:t>
      </w:r>
    </w:p>
    <w:p w14:paraId="38DBE277" w14:textId="3199F4CE" w:rsidR="000764E7" w:rsidRPr="000C6C0E" w:rsidRDefault="000764E7" w:rsidP="000764E7">
      <w:pPr>
        <w:pStyle w:val="BodyText"/>
        <w:rPr>
          <w:rFonts w:ascii="Verdana" w:hAnsi="Verdana"/>
          <w:sz w:val="20"/>
        </w:rPr>
      </w:pPr>
      <w:r w:rsidRPr="000C6C0E">
        <w:rPr>
          <w:rFonts w:ascii="Verdana" w:hAnsi="Verdana"/>
          <w:sz w:val="20"/>
        </w:rPr>
        <w:t>During preparation of the transition dossier, reviews by the UK, Denmark, the Netherlands and Sweden on the replacement of chlorinated paraffins in metalworking fluids and the metalworking fluids case study in the OMNITOX project were consulted. The transition dossier indicate</w:t>
      </w:r>
      <w:r w:rsidR="000C6C0E" w:rsidRPr="000C6C0E">
        <w:rPr>
          <w:rFonts w:ascii="Verdana" w:hAnsi="Verdana"/>
          <w:sz w:val="20"/>
        </w:rPr>
        <w:t>d</w:t>
      </w:r>
      <w:r w:rsidRPr="000C6C0E">
        <w:rPr>
          <w:rFonts w:ascii="Verdana" w:hAnsi="Verdana"/>
          <w:sz w:val="20"/>
        </w:rPr>
        <w:t xml:space="preserve"> that </w:t>
      </w:r>
      <w:r w:rsidR="000B44FA">
        <w:rPr>
          <w:rFonts w:ascii="Verdana" w:hAnsi="Verdana"/>
          <w:sz w:val="20"/>
        </w:rPr>
        <w:t>LCCPs,</w:t>
      </w:r>
      <w:r w:rsidRPr="000C6C0E">
        <w:rPr>
          <w:rFonts w:ascii="Verdana" w:hAnsi="Verdana"/>
          <w:sz w:val="20"/>
        </w:rPr>
        <w:t xml:space="preserve"> phosphorus-based additives (e.g. aryl phosphates, alkyl phosphates and </w:t>
      </w:r>
      <w:proofErr w:type="spellStart"/>
      <w:r w:rsidRPr="000C6C0E">
        <w:rPr>
          <w:rFonts w:ascii="Verdana" w:hAnsi="Verdana"/>
          <w:sz w:val="20"/>
        </w:rPr>
        <w:t>phosphites</w:t>
      </w:r>
      <w:proofErr w:type="spellEnd"/>
      <w:r w:rsidRPr="000C6C0E">
        <w:rPr>
          <w:rFonts w:ascii="Verdana" w:hAnsi="Verdana"/>
          <w:sz w:val="20"/>
        </w:rPr>
        <w:t xml:space="preserve">, complex phosphate esters), </w:t>
      </w:r>
      <w:proofErr w:type="spellStart"/>
      <w:r w:rsidR="00367D7E">
        <w:rPr>
          <w:rFonts w:ascii="Verdana" w:hAnsi="Verdana"/>
          <w:sz w:val="20"/>
        </w:rPr>
        <w:t>sulf</w:t>
      </w:r>
      <w:r w:rsidRPr="000C6C0E">
        <w:rPr>
          <w:rFonts w:ascii="Verdana" w:hAnsi="Verdana"/>
          <w:sz w:val="20"/>
        </w:rPr>
        <w:t>ur</w:t>
      </w:r>
      <w:proofErr w:type="spellEnd"/>
      <w:r w:rsidRPr="000C6C0E">
        <w:rPr>
          <w:rFonts w:ascii="Verdana" w:hAnsi="Verdana"/>
          <w:sz w:val="20"/>
        </w:rPr>
        <w:t xml:space="preserve">-based additives (e.g. </w:t>
      </w:r>
      <w:proofErr w:type="spellStart"/>
      <w:r w:rsidR="00367D7E">
        <w:rPr>
          <w:rFonts w:ascii="Verdana" w:hAnsi="Verdana"/>
          <w:sz w:val="20"/>
        </w:rPr>
        <w:t>sulf</w:t>
      </w:r>
      <w:r w:rsidRPr="000C6C0E">
        <w:rPr>
          <w:rFonts w:ascii="Verdana" w:hAnsi="Verdana"/>
          <w:sz w:val="20"/>
        </w:rPr>
        <w:t>urised</w:t>
      </w:r>
      <w:proofErr w:type="spellEnd"/>
      <w:r w:rsidRPr="000C6C0E">
        <w:rPr>
          <w:rFonts w:ascii="Verdana" w:hAnsi="Verdana"/>
          <w:sz w:val="20"/>
        </w:rPr>
        <w:t xml:space="preserve"> esters, </w:t>
      </w:r>
      <w:proofErr w:type="spellStart"/>
      <w:r w:rsidRPr="000C6C0E">
        <w:rPr>
          <w:rFonts w:ascii="Verdana" w:hAnsi="Verdana"/>
          <w:sz w:val="20"/>
        </w:rPr>
        <w:t>poly</w:t>
      </w:r>
      <w:r w:rsidR="00367D7E">
        <w:rPr>
          <w:rFonts w:ascii="Verdana" w:hAnsi="Verdana"/>
          <w:sz w:val="20"/>
        </w:rPr>
        <w:t>sulf</w:t>
      </w:r>
      <w:r w:rsidRPr="000C6C0E">
        <w:rPr>
          <w:rFonts w:ascii="Verdana" w:hAnsi="Verdana"/>
          <w:sz w:val="20"/>
        </w:rPr>
        <w:t>ides</w:t>
      </w:r>
      <w:proofErr w:type="spellEnd"/>
      <w:r w:rsidRPr="000C6C0E">
        <w:rPr>
          <w:rFonts w:ascii="Verdana" w:hAnsi="Verdana"/>
          <w:sz w:val="20"/>
        </w:rPr>
        <w:t xml:space="preserve">), </w:t>
      </w:r>
      <w:proofErr w:type="spellStart"/>
      <w:r w:rsidRPr="000C6C0E">
        <w:rPr>
          <w:rFonts w:ascii="Verdana" w:hAnsi="Verdana"/>
          <w:sz w:val="20"/>
        </w:rPr>
        <w:t>overbased</w:t>
      </w:r>
      <w:proofErr w:type="spellEnd"/>
      <w:r w:rsidRPr="000C6C0E">
        <w:rPr>
          <w:rFonts w:ascii="Verdana" w:hAnsi="Verdana"/>
          <w:sz w:val="20"/>
        </w:rPr>
        <w:t xml:space="preserve"> </w:t>
      </w:r>
      <w:r w:rsidR="00367D7E">
        <w:rPr>
          <w:rFonts w:ascii="Verdana" w:hAnsi="Verdana"/>
          <w:sz w:val="20"/>
        </w:rPr>
        <w:t>sulf</w:t>
      </w:r>
      <w:r w:rsidRPr="000C6C0E">
        <w:rPr>
          <w:rFonts w:ascii="Verdana" w:hAnsi="Verdana"/>
          <w:sz w:val="20"/>
        </w:rPr>
        <w:t xml:space="preserve">onates and zinc </w:t>
      </w:r>
      <w:proofErr w:type="spellStart"/>
      <w:r w:rsidRPr="000C6C0E">
        <w:rPr>
          <w:rFonts w:ascii="Verdana" w:hAnsi="Verdana"/>
          <w:sz w:val="20"/>
        </w:rPr>
        <w:t>dialkyl</w:t>
      </w:r>
      <w:proofErr w:type="spellEnd"/>
      <w:r w:rsidRPr="000C6C0E">
        <w:rPr>
          <w:rFonts w:ascii="Verdana" w:hAnsi="Verdana"/>
          <w:sz w:val="20"/>
        </w:rPr>
        <w:t xml:space="preserve"> </w:t>
      </w:r>
      <w:proofErr w:type="spellStart"/>
      <w:r w:rsidRPr="000C6C0E">
        <w:rPr>
          <w:rFonts w:ascii="Verdana" w:hAnsi="Verdana"/>
          <w:sz w:val="20"/>
        </w:rPr>
        <w:t>dithiophosphate</w:t>
      </w:r>
      <w:proofErr w:type="spellEnd"/>
      <w:r w:rsidRPr="000C6C0E">
        <w:rPr>
          <w:rFonts w:ascii="Verdana" w:hAnsi="Verdana"/>
          <w:sz w:val="20"/>
        </w:rPr>
        <w:t xml:space="preserve"> are possible alternatives for some uses of </w:t>
      </w:r>
      <w:r w:rsidR="000578F2">
        <w:rPr>
          <w:rFonts w:ascii="Verdana" w:hAnsi="Verdana"/>
          <w:sz w:val="20"/>
        </w:rPr>
        <w:t>MCCPs</w:t>
      </w:r>
      <w:r w:rsidRPr="000C6C0E">
        <w:rPr>
          <w:rFonts w:ascii="Verdana" w:hAnsi="Verdana"/>
          <w:sz w:val="20"/>
        </w:rPr>
        <w:t xml:space="preserve"> in oil-based metal working fluids. However, it appears that no suitable alternative currently exists for some specific applications (e.g. extreme temperature and pressure activities such as the sheet metal forming processes of deep drawing and punching, extrusion, the cold rolling process of </w:t>
      </w:r>
      <w:proofErr w:type="spellStart"/>
      <w:r w:rsidRPr="000C6C0E">
        <w:rPr>
          <w:rFonts w:ascii="Verdana" w:hAnsi="Verdana"/>
          <w:sz w:val="20"/>
        </w:rPr>
        <w:t>pilgering</w:t>
      </w:r>
      <w:proofErr w:type="spellEnd"/>
      <w:r w:rsidRPr="000C6C0E">
        <w:rPr>
          <w:rFonts w:ascii="Verdana" w:hAnsi="Verdana"/>
          <w:sz w:val="20"/>
        </w:rPr>
        <w:t xml:space="preserve"> and the metal cutting process of broaching), and some pose problems with staining, odour, etc. </w:t>
      </w:r>
    </w:p>
    <w:p w14:paraId="1D59D5F2" w14:textId="505DA5DC" w:rsidR="000764E7" w:rsidRPr="0005714E" w:rsidRDefault="000764E7" w:rsidP="000764E7">
      <w:pPr>
        <w:pStyle w:val="BodyText"/>
        <w:rPr>
          <w:rFonts w:ascii="Verdana" w:hAnsi="Verdana"/>
          <w:b/>
          <w:sz w:val="20"/>
        </w:rPr>
      </w:pPr>
      <w:r w:rsidRPr="0005714E">
        <w:rPr>
          <w:rFonts w:ascii="Verdana" w:hAnsi="Verdana"/>
          <w:b/>
          <w:sz w:val="20"/>
        </w:rPr>
        <w:t xml:space="preserve">Use in rubber and polymers (other than PVC) </w:t>
      </w:r>
    </w:p>
    <w:p w14:paraId="093EE72B" w14:textId="138798F5" w:rsidR="000764E7" w:rsidRPr="000C6C0E" w:rsidRDefault="000578F2" w:rsidP="000764E7">
      <w:pPr>
        <w:pStyle w:val="BodyText"/>
        <w:rPr>
          <w:rFonts w:ascii="Verdana" w:hAnsi="Verdana"/>
          <w:sz w:val="20"/>
        </w:rPr>
      </w:pPr>
      <w:r>
        <w:rPr>
          <w:rFonts w:ascii="Verdana" w:hAnsi="Verdana"/>
          <w:sz w:val="20"/>
        </w:rPr>
        <w:t>MCCPs</w:t>
      </w:r>
      <w:r w:rsidR="00607BBD">
        <w:rPr>
          <w:rFonts w:ascii="Verdana" w:hAnsi="Verdana"/>
          <w:sz w:val="20"/>
        </w:rPr>
        <w:t xml:space="preserve"> </w:t>
      </w:r>
      <w:r w:rsidR="000764E7" w:rsidRPr="000C6C0E">
        <w:rPr>
          <w:rFonts w:ascii="Verdana" w:hAnsi="Verdana"/>
          <w:sz w:val="20"/>
        </w:rPr>
        <w:t xml:space="preserve">with a </w:t>
      </w:r>
      <w:r w:rsidR="00D85444">
        <w:rPr>
          <w:rFonts w:ascii="Verdana" w:hAnsi="Verdana"/>
          <w:sz w:val="20"/>
        </w:rPr>
        <w:t>‘</w:t>
      </w:r>
      <w:r w:rsidR="000764E7" w:rsidRPr="000C6C0E">
        <w:rPr>
          <w:rFonts w:ascii="Verdana" w:hAnsi="Verdana"/>
          <w:sz w:val="20"/>
        </w:rPr>
        <w:t>high</w:t>
      </w:r>
      <w:r w:rsidR="00D85444">
        <w:rPr>
          <w:rFonts w:ascii="Verdana" w:hAnsi="Verdana"/>
          <w:sz w:val="20"/>
        </w:rPr>
        <w:t>’</w:t>
      </w:r>
      <w:r w:rsidR="000764E7" w:rsidRPr="000C6C0E">
        <w:rPr>
          <w:rFonts w:ascii="Verdana" w:hAnsi="Verdana"/>
          <w:sz w:val="20"/>
        </w:rPr>
        <w:t xml:space="preserve"> chlorine content is a cost-effective softener (or process oil) additive with flame retardant properties used in nitrile, natural and styrene-butadiene rubbers in applications such as conveyor belts and tubes for compressed air in the mining industry, bellows for buses and trains, and profiles for fireproof doors. The ESR Risk Assessment Report (Part 1) indicates that </w:t>
      </w:r>
      <w:r>
        <w:rPr>
          <w:rFonts w:ascii="Verdana" w:hAnsi="Verdana"/>
          <w:sz w:val="20"/>
        </w:rPr>
        <w:t>MCCPs</w:t>
      </w:r>
      <w:r w:rsidR="00607BBD">
        <w:rPr>
          <w:rFonts w:ascii="Verdana" w:hAnsi="Verdana"/>
          <w:sz w:val="20"/>
        </w:rPr>
        <w:t xml:space="preserve"> </w:t>
      </w:r>
      <w:r w:rsidR="000764E7" w:rsidRPr="000C6C0E">
        <w:rPr>
          <w:rFonts w:ascii="Verdana" w:hAnsi="Verdana"/>
          <w:sz w:val="20"/>
        </w:rPr>
        <w:t>can be present at up to 15</w:t>
      </w:r>
      <w:r w:rsidR="009A50EF">
        <w:rPr>
          <w:rFonts w:ascii="Verdana" w:hAnsi="Verdana"/>
          <w:sz w:val="20"/>
        </w:rPr>
        <w:t>%</w:t>
      </w:r>
      <w:r w:rsidR="000764E7" w:rsidRPr="000C6C0E">
        <w:rPr>
          <w:rFonts w:ascii="Verdana" w:hAnsi="Verdana"/>
          <w:sz w:val="20"/>
        </w:rPr>
        <w:t xml:space="preserve"> w/w of the total rubber. </w:t>
      </w:r>
    </w:p>
    <w:p w14:paraId="542F43BA" w14:textId="2DAD75A1" w:rsidR="000764E7" w:rsidRPr="000C6C0E" w:rsidRDefault="000578F2" w:rsidP="000764E7">
      <w:pPr>
        <w:pStyle w:val="BodyText"/>
        <w:rPr>
          <w:rFonts w:ascii="Verdana" w:hAnsi="Verdana"/>
          <w:sz w:val="20"/>
        </w:rPr>
      </w:pPr>
      <w:r>
        <w:rPr>
          <w:rFonts w:ascii="Verdana" w:hAnsi="Verdana"/>
          <w:sz w:val="20"/>
        </w:rPr>
        <w:t>MCCPs</w:t>
      </w:r>
      <w:r w:rsidR="00607BBD">
        <w:rPr>
          <w:rFonts w:ascii="Verdana" w:hAnsi="Verdana"/>
          <w:sz w:val="20"/>
        </w:rPr>
        <w:t xml:space="preserve"> </w:t>
      </w:r>
      <w:r w:rsidR="000C6C0E" w:rsidRPr="000C6C0E">
        <w:rPr>
          <w:rFonts w:ascii="Verdana" w:hAnsi="Verdana"/>
          <w:sz w:val="20"/>
        </w:rPr>
        <w:t>with chlorine content</w:t>
      </w:r>
      <w:r w:rsidR="000764E7" w:rsidRPr="000C6C0E">
        <w:rPr>
          <w:rFonts w:ascii="Verdana" w:hAnsi="Verdana"/>
          <w:sz w:val="20"/>
        </w:rPr>
        <w:t xml:space="preserve"> &gt;50</w:t>
      </w:r>
      <w:r w:rsidR="009A50EF">
        <w:rPr>
          <w:rFonts w:ascii="Verdana" w:hAnsi="Verdana"/>
          <w:sz w:val="20"/>
        </w:rPr>
        <w:t>%</w:t>
      </w:r>
      <w:r w:rsidR="000764E7" w:rsidRPr="000C6C0E">
        <w:rPr>
          <w:rFonts w:ascii="Verdana" w:hAnsi="Verdana"/>
          <w:sz w:val="20"/>
        </w:rPr>
        <w:t xml:space="preserve"> </w:t>
      </w:r>
      <w:r w:rsidR="00D85444">
        <w:rPr>
          <w:rFonts w:ascii="Verdana" w:hAnsi="Verdana"/>
          <w:sz w:val="20"/>
        </w:rPr>
        <w:t>by weight</w:t>
      </w:r>
      <w:r w:rsidR="000764E7" w:rsidRPr="000C6C0E">
        <w:rPr>
          <w:rFonts w:ascii="Verdana" w:hAnsi="Verdana"/>
          <w:sz w:val="20"/>
        </w:rPr>
        <w:t xml:space="preserve"> acts as</w:t>
      </w:r>
      <w:r w:rsidR="000C6C0E" w:rsidRPr="000C6C0E">
        <w:rPr>
          <w:rFonts w:ascii="Verdana" w:hAnsi="Verdana"/>
          <w:sz w:val="20"/>
        </w:rPr>
        <w:t xml:space="preserve"> a </w:t>
      </w:r>
      <w:r w:rsidR="000764E7" w:rsidRPr="000C6C0E">
        <w:rPr>
          <w:rFonts w:ascii="Verdana" w:hAnsi="Verdana"/>
          <w:sz w:val="20"/>
        </w:rPr>
        <w:t xml:space="preserve">secondary flame retardant plasticiser in non-PVC plastics. It is also used as a physical property modifier, such as for modification of viscosity in polyurethane, especially rigid foams and one-component foams. </w:t>
      </w:r>
    </w:p>
    <w:p w14:paraId="0193DF6E" w14:textId="2865D66D" w:rsidR="000764E7" w:rsidRPr="000C6C0E" w:rsidRDefault="000B44FA" w:rsidP="000764E7">
      <w:pPr>
        <w:pStyle w:val="BodyText"/>
        <w:rPr>
          <w:rFonts w:ascii="Verdana" w:hAnsi="Verdana"/>
          <w:sz w:val="20"/>
        </w:rPr>
      </w:pPr>
      <w:r>
        <w:rPr>
          <w:rFonts w:ascii="Verdana" w:hAnsi="Verdana"/>
          <w:sz w:val="20"/>
        </w:rPr>
        <w:t>LCCP</w:t>
      </w:r>
      <w:r w:rsidR="00D85444">
        <w:rPr>
          <w:rFonts w:ascii="Verdana" w:hAnsi="Verdana"/>
          <w:sz w:val="20"/>
        </w:rPr>
        <w:t>s</w:t>
      </w:r>
      <w:r>
        <w:rPr>
          <w:rFonts w:ascii="Verdana" w:hAnsi="Verdana"/>
          <w:sz w:val="20"/>
        </w:rPr>
        <w:t xml:space="preserve"> </w:t>
      </w:r>
      <w:r w:rsidR="000764E7" w:rsidRPr="000C6C0E">
        <w:rPr>
          <w:rFonts w:ascii="Verdana" w:hAnsi="Verdana"/>
          <w:sz w:val="20"/>
        </w:rPr>
        <w:t xml:space="preserve">has been identified as an alternative for several rubber applications, although </w:t>
      </w:r>
      <w:r w:rsidR="00D85444">
        <w:rPr>
          <w:rFonts w:ascii="Verdana" w:hAnsi="Verdana"/>
          <w:sz w:val="20"/>
        </w:rPr>
        <w:t xml:space="preserve">there is no up to date information about its effects on product performance </w:t>
      </w:r>
      <w:r w:rsidR="009A50EF">
        <w:rPr>
          <w:rFonts w:ascii="Verdana" w:hAnsi="Verdana"/>
          <w:sz w:val="20"/>
        </w:rPr>
        <w:t xml:space="preserve">(e.g. flexibility) </w:t>
      </w:r>
      <w:r w:rsidR="00D85444">
        <w:rPr>
          <w:rFonts w:ascii="Verdana" w:hAnsi="Verdana"/>
          <w:sz w:val="20"/>
        </w:rPr>
        <w:t>or</w:t>
      </w:r>
      <w:r w:rsidR="000764E7" w:rsidRPr="000C6C0E">
        <w:rPr>
          <w:rFonts w:ascii="Verdana" w:hAnsi="Verdana"/>
          <w:sz w:val="20"/>
        </w:rPr>
        <w:t xml:space="preserve"> fire safety approvals </w:t>
      </w:r>
      <w:r w:rsidR="00D85444">
        <w:rPr>
          <w:rFonts w:ascii="Verdana" w:hAnsi="Verdana"/>
          <w:sz w:val="20"/>
        </w:rPr>
        <w:t xml:space="preserve">(e.g. </w:t>
      </w:r>
      <w:r w:rsidR="000764E7" w:rsidRPr="000C6C0E">
        <w:rPr>
          <w:rFonts w:ascii="Verdana" w:hAnsi="Verdana"/>
          <w:sz w:val="20"/>
        </w:rPr>
        <w:t>for use on public transport</w:t>
      </w:r>
      <w:r w:rsidR="00D85444">
        <w:rPr>
          <w:rFonts w:ascii="Verdana" w:hAnsi="Verdana"/>
          <w:sz w:val="20"/>
        </w:rPr>
        <w:t>)</w:t>
      </w:r>
      <w:r w:rsidR="000764E7" w:rsidRPr="000C6C0E">
        <w:rPr>
          <w:rFonts w:ascii="Verdana" w:hAnsi="Verdana"/>
          <w:sz w:val="20"/>
        </w:rPr>
        <w:t>.</w:t>
      </w:r>
    </w:p>
    <w:p w14:paraId="3D266D1B" w14:textId="77777777" w:rsidR="00364475" w:rsidRDefault="00364475">
      <w:pPr>
        <w:spacing w:after="0"/>
        <w:rPr>
          <w:rFonts w:ascii="Verdana" w:hAnsi="Verdana"/>
          <w:b/>
          <w:sz w:val="20"/>
          <w:szCs w:val="20"/>
          <w:lang w:val="en-GB"/>
        </w:rPr>
      </w:pPr>
      <w:r>
        <w:rPr>
          <w:rFonts w:ascii="Verdana" w:hAnsi="Verdana"/>
          <w:b/>
          <w:sz w:val="20"/>
        </w:rPr>
        <w:br w:type="page"/>
      </w:r>
    </w:p>
    <w:p w14:paraId="3FC48758" w14:textId="7A983B43" w:rsidR="00161903" w:rsidRPr="00161903" w:rsidRDefault="00161903" w:rsidP="00161903">
      <w:pPr>
        <w:pStyle w:val="BodyText"/>
        <w:rPr>
          <w:rFonts w:ascii="Verdana" w:hAnsi="Verdana"/>
          <w:b/>
          <w:sz w:val="20"/>
        </w:rPr>
      </w:pPr>
      <w:r w:rsidRPr="00161903">
        <w:rPr>
          <w:rFonts w:ascii="Verdana" w:hAnsi="Verdana"/>
          <w:b/>
          <w:sz w:val="20"/>
        </w:rPr>
        <w:lastRenderedPageBreak/>
        <w:t>Availability of alternative materials and techniques</w:t>
      </w:r>
    </w:p>
    <w:p w14:paraId="30A2D562" w14:textId="46B44366" w:rsidR="00161903" w:rsidRPr="00161903" w:rsidRDefault="00161903" w:rsidP="00161903">
      <w:pPr>
        <w:pStyle w:val="BodyText"/>
        <w:rPr>
          <w:rFonts w:ascii="Verdana" w:hAnsi="Verdana"/>
          <w:sz w:val="20"/>
        </w:rPr>
      </w:pPr>
      <w:r w:rsidRPr="00161903">
        <w:rPr>
          <w:rFonts w:ascii="Verdana" w:hAnsi="Verdana"/>
          <w:sz w:val="20"/>
        </w:rPr>
        <w:t xml:space="preserve">Some information on alternative materials and techniques was presented in the transition dossier. For most situations where </w:t>
      </w:r>
      <w:r w:rsidR="000578F2">
        <w:rPr>
          <w:rFonts w:ascii="Verdana" w:hAnsi="Verdana"/>
          <w:sz w:val="20"/>
        </w:rPr>
        <w:t>MCCPs</w:t>
      </w:r>
      <w:r w:rsidR="00607BBD">
        <w:rPr>
          <w:rFonts w:ascii="Verdana" w:hAnsi="Verdana"/>
          <w:sz w:val="20"/>
        </w:rPr>
        <w:t xml:space="preserve"> </w:t>
      </w:r>
      <w:r w:rsidRPr="00161903">
        <w:rPr>
          <w:rFonts w:ascii="Verdana" w:hAnsi="Verdana"/>
          <w:sz w:val="20"/>
        </w:rPr>
        <w:t xml:space="preserve">is used it was possible to identify alternative materials. The impacts of the use of alternative technologies on human health and the environment were not assessed in the transition dossier so it is not clear whether such moves would provide an overall reduction in risks to human health and/or the environment. A move to alternative materials and techniques would result in shifts from one supply chain to another. It is likely that many companies would need to replace existing manufacturing machinery with different types of machinery. For this reason, it is likely that many companies using products containing </w:t>
      </w:r>
      <w:r w:rsidR="000578F2">
        <w:rPr>
          <w:rFonts w:ascii="Verdana" w:hAnsi="Verdana"/>
          <w:sz w:val="20"/>
        </w:rPr>
        <w:t>MCCPs</w:t>
      </w:r>
      <w:r w:rsidR="00607BBD">
        <w:rPr>
          <w:rFonts w:ascii="Verdana" w:hAnsi="Verdana"/>
          <w:sz w:val="20"/>
        </w:rPr>
        <w:t xml:space="preserve"> </w:t>
      </w:r>
      <w:r w:rsidRPr="00161903">
        <w:rPr>
          <w:rFonts w:ascii="Verdana" w:hAnsi="Verdana"/>
          <w:sz w:val="20"/>
        </w:rPr>
        <w:t xml:space="preserve">would prefer to seek alternative substances. </w:t>
      </w:r>
    </w:p>
    <w:p w14:paraId="5BACEE01" w14:textId="0C8A7254" w:rsidR="00EA772F" w:rsidRDefault="00161903" w:rsidP="00161903">
      <w:pPr>
        <w:pStyle w:val="BodyText"/>
        <w:rPr>
          <w:rFonts w:ascii="Verdana" w:hAnsi="Verdana"/>
          <w:sz w:val="20"/>
        </w:rPr>
      </w:pPr>
      <w:r w:rsidRPr="00161903">
        <w:rPr>
          <w:rFonts w:ascii="Verdana" w:hAnsi="Verdana"/>
          <w:sz w:val="20"/>
        </w:rPr>
        <w:t xml:space="preserve">The transition dossier stated that alternative technologies were not available for some metalworking applications requiring the use of </w:t>
      </w:r>
      <w:r w:rsidR="000578F2">
        <w:rPr>
          <w:rFonts w:ascii="Verdana" w:hAnsi="Verdana"/>
          <w:sz w:val="20"/>
        </w:rPr>
        <w:t>MCCPs</w:t>
      </w:r>
      <w:r w:rsidR="00607BBD">
        <w:rPr>
          <w:rFonts w:ascii="Verdana" w:hAnsi="Verdana"/>
          <w:sz w:val="20"/>
        </w:rPr>
        <w:t>,</w:t>
      </w:r>
      <w:r w:rsidRPr="00161903">
        <w:rPr>
          <w:rFonts w:ascii="Verdana" w:hAnsi="Verdana"/>
          <w:sz w:val="20"/>
        </w:rPr>
        <w:t xml:space="preserve"> but no further details were available. Also no suitable alternative materials or technologies were identified for the manufacture of conveyor belts for use in mines, bellows for buses/trains and fireproof doors.</w:t>
      </w:r>
    </w:p>
    <w:p w14:paraId="793CC65E" w14:textId="35A7D66F" w:rsidR="00161903" w:rsidRPr="00161903" w:rsidRDefault="00BC601F" w:rsidP="00BC601F">
      <w:pPr>
        <w:pStyle w:val="Caption"/>
        <w:rPr>
          <w:rFonts w:ascii="Verdana" w:hAnsi="Verdana"/>
          <w:b/>
          <w:sz w:val="20"/>
        </w:rPr>
      </w:pPr>
      <w:r w:rsidRPr="00BC601F">
        <w:rPr>
          <w:rFonts w:ascii="Verdana" w:hAnsi="Verdana"/>
          <w:b/>
          <w:sz w:val="20"/>
        </w:rPr>
        <w:t xml:space="preserve">Table </w:t>
      </w:r>
      <w:r w:rsidRPr="00BC601F">
        <w:rPr>
          <w:rFonts w:ascii="Verdana" w:hAnsi="Verdana"/>
          <w:b/>
          <w:sz w:val="20"/>
        </w:rPr>
        <w:fldChar w:fldCharType="begin"/>
      </w:r>
      <w:r w:rsidRPr="00BC601F">
        <w:rPr>
          <w:rFonts w:ascii="Verdana" w:hAnsi="Verdana"/>
          <w:b/>
          <w:sz w:val="20"/>
        </w:rPr>
        <w:instrText xml:space="preserve"> SEQ Table \* ARABIC </w:instrText>
      </w:r>
      <w:r w:rsidRPr="00BC601F">
        <w:rPr>
          <w:rFonts w:ascii="Verdana" w:hAnsi="Verdana"/>
          <w:b/>
          <w:sz w:val="20"/>
        </w:rPr>
        <w:fldChar w:fldCharType="separate"/>
      </w:r>
      <w:r w:rsidR="005C355A">
        <w:rPr>
          <w:rFonts w:ascii="Verdana" w:hAnsi="Verdana"/>
          <w:b/>
          <w:noProof/>
          <w:sz w:val="20"/>
        </w:rPr>
        <w:t>11</w:t>
      </w:r>
      <w:r w:rsidRPr="00BC601F">
        <w:rPr>
          <w:rFonts w:ascii="Verdana" w:hAnsi="Verdana"/>
          <w:b/>
          <w:sz w:val="20"/>
        </w:rPr>
        <w:fldChar w:fldCharType="end"/>
      </w:r>
      <w:r w:rsidR="00161903" w:rsidRPr="00161903">
        <w:rPr>
          <w:rFonts w:ascii="Verdana" w:hAnsi="Verdana"/>
          <w:b/>
          <w:sz w:val="20"/>
        </w:rPr>
        <w:t xml:space="preserve">: Overview of non-substance alternatives for main </w:t>
      </w:r>
      <w:r w:rsidR="000578F2">
        <w:rPr>
          <w:rFonts w:ascii="Verdana" w:hAnsi="Verdana"/>
          <w:b/>
          <w:sz w:val="20"/>
        </w:rPr>
        <w:t>MCCPs</w:t>
      </w:r>
      <w:r w:rsidR="00607BBD">
        <w:rPr>
          <w:rFonts w:ascii="Verdana" w:hAnsi="Verdana"/>
          <w:b/>
          <w:sz w:val="20"/>
        </w:rPr>
        <w:t xml:space="preserve"> </w:t>
      </w:r>
      <w:r w:rsidR="00161903" w:rsidRPr="00161903">
        <w:rPr>
          <w:rFonts w:ascii="Verdana" w:hAnsi="Verdana"/>
          <w:b/>
          <w:sz w:val="20"/>
        </w:rPr>
        <w:t>uses of concern</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1798"/>
        <w:gridCol w:w="4253"/>
      </w:tblGrid>
      <w:tr w:rsidR="00161903" w14:paraId="5B75E86D" w14:textId="77777777" w:rsidTr="009A50EF">
        <w:trPr>
          <w:cantSplit/>
          <w:tblHeader/>
        </w:trPr>
        <w:tc>
          <w:tcPr>
            <w:tcW w:w="2308" w:type="dxa"/>
          </w:tcPr>
          <w:p w14:paraId="04F5A951" w14:textId="77777777" w:rsidR="00161903" w:rsidRPr="00161903" w:rsidRDefault="00161903" w:rsidP="00B20579">
            <w:pPr>
              <w:pStyle w:val="Table-Heading"/>
              <w:tabs>
                <w:tab w:val="center" w:pos="1046"/>
              </w:tabs>
              <w:rPr>
                <w:rFonts w:ascii="Verdana" w:hAnsi="Verdana"/>
                <w:b/>
                <w:sz w:val="20"/>
              </w:rPr>
            </w:pPr>
            <w:r w:rsidRPr="00161903">
              <w:rPr>
                <w:rFonts w:ascii="Verdana" w:hAnsi="Verdana"/>
                <w:b/>
                <w:sz w:val="20"/>
              </w:rPr>
              <w:t>Use</w:t>
            </w:r>
            <w:r w:rsidRPr="00161903">
              <w:rPr>
                <w:rFonts w:ascii="Verdana" w:hAnsi="Verdana"/>
                <w:b/>
                <w:sz w:val="20"/>
              </w:rPr>
              <w:tab/>
            </w:r>
          </w:p>
        </w:tc>
        <w:tc>
          <w:tcPr>
            <w:tcW w:w="1798" w:type="dxa"/>
          </w:tcPr>
          <w:p w14:paraId="5F6D30CF" w14:textId="77777777" w:rsidR="00161903" w:rsidRPr="00161903" w:rsidRDefault="00161903" w:rsidP="00B20579">
            <w:pPr>
              <w:pStyle w:val="Table-Heading"/>
              <w:rPr>
                <w:rFonts w:ascii="Verdana" w:hAnsi="Verdana"/>
                <w:b/>
                <w:sz w:val="20"/>
              </w:rPr>
            </w:pPr>
            <w:r w:rsidRPr="00161903">
              <w:rPr>
                <w:rFonts w:ascii="Verdana" w:hAnsi="Verdana"/>
                <w:b/>
                <w:sz w:val="20"/>
              </w:rPr>
              <w:t>Potential substitutes</w:t>
            </w:r>
          </w:p>
        </w:tc>
        <w:tc>
          <w:tcPr>
            <w:tcW w:w="4253" w:type="dxa"/>
          </w:tcPr>
          <w:p w14:paraId="7AF671BA" w14:textId="071966B8" w:rsidR="00161903" w:rsidRPr="00161903" w:rsidRDefault="00161903" w:rsidP="00861D95">
            <w:pPr>
              <w:pStyle w:val="Table-Heading"/>
              <w:rPr>
                <w:rFonts w:ascii="Verdana" w:hAnsi="Verdana"/>
                <w:b/>
                <w:sz w:val="20"/>
              </w:rPr>
            </w:pPr>
            <w:r w:rsidRPr="00161903">
              <w:rPr>
                <w:rFonts w:ascii="Verdana" w:hAnsi="Verdana"/>
                <w:b/>
                <w:sz w:val="20"/>
              </w:rPr>
              <w:t xml:space="preserve">Implications of </w:t>
            </w:r>
            <w:r w:rsidR="00861D95">
              <w:rPr>
                <w:rFonts w:ascii="Verdana" w:hAnsi="Verdana"/>
                <w:b/>
                <w:sz w:val="20"/>
              </w:rPr>
              <w:t>switch</w:t>
            </w:r>
          </w:p>
        </w:tc>
      </w:tr>
      <w:tr w:rsidR="00161903" w14:paraId="51354643" w14:textId="77777777" w:rsidTr="009A50EF">
        <w:trPr>
          <w:cantSplit/>
        </w:trPr>
        <w:tc>
          <w:tcPr>
            <w:tcW w:w="2308" w:type="dxa"/>
          </w:tcPr>
          <w:p w14:paraId="5562812D" w14:textId="77777777" w:rsidR="00161903" w:rsidRPr="00161903" w:rsidRDefault="00161903" w:rsidP="00B20579">
            <w:pPr>
              <w:pStyle w:val="Table-Contents"/>
              <w:rPr>
                <w:rFonts w:ascii="Verdana" w:hAnsi="Verdana"/>
                <w:sz w:val="20"/>
              </w:rPr>
            </w:pPr>
            <w:r w:rsidRPr="00161903">
              <w:rPr>
                <w:rFonts w:ascii="Verdana" w:hAnsi="Verdana"/>
                <w:sz w:val="20"/>
              </w:rPr>
              <w:t>PVC wallcoverings</w:t>
            </w:r>
          </w:p>
        </w:tc>
        <w:tc>
          <w:tcPr>
            <w:tcW w:w="1798" w:type="dxa"/>
          </w:tcPr>
          <w:p w14:paraId="3F02848C" w14:textId="77777777" w:rsidR="00161903" w:rsidRPr="00161903" w:rsidRDefault="00161903" w:rsidP="00B20579">
            <w:pPr>
              <w:pStyle w:val="Table-Contents"/>
              <w:rPr>
                <w:rFonts w:ascii="Verdana" w:hAnsi="Verdana"/>
                <w:sz w:val="20"/>
              </w:rPr>
            </w:pPr>
            <w:r w:rsidRPr="00161903">
              <w:rPr>
                <w:rFonts w:ascii="Verdana" w:hAnsi="Verdana"/>
                <w:sz w:val="20"/>
              </w:rPr>
              <w:t>Non-vinyl wallpaper</w:t>
            </w:r>
          </w:p>
          <w:p w14:paraId="5EA3C999" w14:textId="77777777" w:rsidR="00161903" w:rsidRPr="00161903" w:rsidRDefault="00161903" w:rsidP="00B20579">
            <w:pPr>
              <w:pStyle w:val="Table-Contents"/>
              <w:rPr>
                <w:rFonts w:ascii="Verdana" w:hAnsi="Verdana"/>
                <w:sz w:val="20"/>
              </w:rPr>
            </w:pPr>
            <w:r w:rsidRPr="00161903">
              <w:rPr>
                <w:rFonts w:ascii="Verdana" w:hAnsi="Verdana"/>
                <w:sz w:val="20"/>
              </w:rPr>
              <w:t>Painted walls</w:t>
            </w:r>
          </w:p>
        </w:tc>
        <w:tc>
          <w:tcPr>
            <w:tcW w:w="4253" w:type="dxa"/>
          </w:tcPr>
          <w:p w14:paraId="4C79CB26" w14:textId="74865BA9" w:rsidR="00161903" w:rsidRPr="00161903" w:rsidRDefault="00161903" w:rsidP="00B20579">
            <w:pPr>
              <w:pStyle w:val="Table-Contents"/>
              <w:rPr>
                <w:rFonts w:ascii="Verdana" w:hAnsi="Verdana"/>
                <w:sz w:val="20"/>
              </w:rPr>
            </w:pPr>
            <w:r w:rsidRPr="00161903">
              <w:rPr>
                <w:rFonts w:ascii="Verdana" w:hAnsi="Verdana"/>
                <w:sz w:val="20"/>
              </w:rPr>
              <w:t xml:space="preserve">No use of </w:t>
            </w:r>
            <w:r w:rsidR="000578F2">
              <w:rPr>
                <w:rFonts w:ascii="Verdana" w:hAnsi="Verdana"/>
                <w:sz w:val="20"/>
              </w:rPr>
              <w:t>MCCPs</w:t>
            </w:r>
            <w:r w:rsidR="00607BBD">
              <w:rPr>
                <w:rFonts w:ascii="Verdana" w:hAnsi="Verdana"/>
                <w:sz w:val="20"/>
              </w:rPr>
              <w:t xml:space="preserve"> </w:t>
            </w:r>
            <w:r w:rsidRPr="00161903">
              <w:rPr>
                <w:rFonts w:ascii="Verdana" w:hAnsi="Verdana"/>
                <w:sz w:val="20"/>
              </w:rPr>
              <w:t>(in coating)</w:t>
            </w:r>
          </w:p>
          <w:p w14:paraId="77733F1A" w14:textId="77777777" w:rsidR="00161903" w:rsidRPr="00161903" w:rsidRDefault="00161903" w:rsidP="00B20579">
            <w:pPr>
              <w:pStyle w:val="Table-Contents"/>
              <w:rPr>
                <w:rFonts w:ascii="Verdana" w:hAnsi="Verdana"/>
                <w:sz w:val="20"/>
              </w:rPr>
            </w:pPr>
            <w:r w:rsidRPr="00161903">
              <w:rPr>
                <w:rFonts w:ascii="Verdana" w:hAnsi="Verdana"/>
                <w:sz w:val="20"/>
              </w:rPr>
              <w:t>Cost implications for PVC and wallcoverings industry.</w:t>
            </w:r>
          </w:p>
          <w:p w14:paraId="789D3A91" w14:textId="77777777" w:rsidR="00161903" w:rsidRDefault="00161903" w:rsidP="00B20579">
            <w:pPr>
              <w:pStyle w:val="Table-Contents"/>
              <w:rPr>
                <w:rFonts w:ascii="Verdana" w:hAnsi="Verdana"/>
                <w:sz w:val="20"/>
              </w:rPr>
            </w:pPr>
            <w:r w:rsidRPr="00161903">
              <w:rPr>
                <w:rFonts w:ascii="Verdana" w:hAnsi="Verdana"/>
                <w:sz w:val="20"/>
              </w:rPr>
              <w:t>Reduced consumer choice.</w:t>
            </w:r>
          </w:p>
          <w:p w14:paraId="1B48C188" w14:textId="5314ADB6" w:rsidR="00BC601F" w:rsidRPr="00926F51" w:rsidRDefault="00BC601F" w:rsidP="00D85444">
            <w:pPr>
              <w:rPr>
                <w:rFonts w:ascii="Verdana" w:hAnsi="Verdana"/>
                <w:sz w:val="20"/>
                <w:szCs w:val="20"/>
              </w:rPr>
            </w:pPr>
            <w:r w:rsidRPr="00D85444">
              <w:rPr>
                <w:rFonts w:ascii="Verdana" w:hAnsi="Verdana"/>
                <w:sz w:val="20"/>
                <w:szCs w:val="20"/>
                <w:lang w:val="en-GB" w:eastAsia="en-GB"/>
              </w:rPr>
              <w:t>Hygiene issues</w:t>
            </w:r>
            <w:r w:rsidR="00671E22">
              <w:rPr>
                <w:rFonts w:ascii="Verdana" w:hAnsi="Verdana"/>
                <w:sz w:val="20"/>
                <w:szCs w:val="20"/>
                <w:lang w:val="en-GB" w:eastAsia="en-GB"/>
              </w:rPr>
              <w:t xml:space="preserve"> (</w:t>
            </w:r>
            <w:r w:rsidR="00D85444">
              <w:rPr>
                <w:rFonts w:ascii="Verdana" w:hAnsi="Verdana"/>
                <w:sz w:val="20"/>
                <w:szCs w:val="20"/>
                <w:lang w:val="en-GB" w:eastAsia="en-GB"/>
              </w:rPr>
              <w:t xml:space="preserve">if </w:t>
            </w:r>
            <w:r w:rsidR="00671E22">
              <w:rPr>
                <w:rFonts w:ascii="Verdana" w:hAnsi="Verdana"/>
                <w:sz w:val="20"/>
                <w:szCs w:val="20"/>
                <w:lang w:val="en-GB" w:eastAsia="en-GB"/>
              </w:rPr>
              <w:t>non-washable)</w:t>
            </w:r>
            <w:r w:rsidRPr="00D85444">
              <w:rPr>
                <w:rFonts w:ascii="Verdana" w:hAnsi="Verdana"/>
                <w:sz w:val="20"/>
                <w:szCs w:val="20"/>
                <w:lang w:val="en-GB" w:eastAsia="en-GB"/>
              </w:rPr>
              <w:t>.</w:t>
            </w:r>
          </w:p>
        </w:tc>
      </w:tr>
      <w:tr w:rsidR="00161903" w14:paraId="528031C8" w14:textId="77777777" w:rsidTr="009A50EF">
        <w:trPr>
          <w:cantSplit/>
        </w:trPr>
        <w:tc>
          <w:tcPr>
            <w:tcW w:w="2308" w:type="dxa"/>
          </w:tcPr>
          <w:p w14:paraId="03D5599A" w14:textId="77777777" w:rsidR="00161903" w:rsidRPr="00161903" w:rsidRDefault="00161903" w:rsidP="00B20579">
            <w:pPr>
              <w:pStyle w:val="Table-Contents"/>
              <w:rPr>
                <w:rFonts w:ascii="Verdana" w:hAnsi="Verdana"/>
                <w:sz w:val="20"/>
              </w:rPr>
            </w:pPr>
            <w:r w:rsidRPr="00161903">
              <w:rPr>
                <w:rFonts w:ascii="Verdana" w:hAnsi="Verdana"/>
                <w:sz w:val="20"/>
              </w:rPr>
              <w:t>PVC flooring</w:t>
            </w:r>
          </w:p>
        </w:tc>
        <w:tc>
          <w:tcPr>
            <w:tcW w:w="1798" w:type="dxa"/>
          </w:tcPr>
          <w:p w14:paraId="2ADB1395" w14:textId="77777777" w:rsidR="00161903" w:rsidRPr="00161903" w:rsidRDefault="00161903" w:rsidP="00B20579">
            <w:pPr>
              <w:pStyle w:val="Table-Contents"/>
              <w:rPr>
                <w:rFonts w:ascii="Verdana" w:hAnsi="Verdana"/>
                <w:sz w:val="20"/>
              </w:rPr>
            </w:pPr>
            <w:r w:rsidRPr="00161903">
              <w:rPr>
                <w:rFonts w:ascii="Verdana" w:hAnsi="Verdana"/>
                <w:sz w:val="20"/>
              </w:rPr>
              <w:t>Linoleum, wood, stone/slate tiles</w:t>
            </w:r>
          </w:p>
        </w:tc>
        <w:tc>
          <w:tcPr>
            <w:tcW w:w="4253" w:type="dxa"/>
          </w:tcPr>
          <w:p w14:paraId="318AFC2B" w14:textId="77777777" w:rsidR="00161903" w:rsidRPr="00161903" w:rsidRDefault="00161903" w:rsidP="00B20579">
            <w:pPr>
              <w:pStyle w:val="Table-Contents"/>
              <w:rPr>
                <w:rFonts w:ascii="Verdana" w:hAnsi="Verdana"/>
                <w:sz w:val="20"/>
              </w:rPr>
            </w:pPr>
            <w:r w:rsidRPr="00161903">
              <w:rPr>
                <w:rFonts w:ascii="Verdana" w:hAnsi="Verdana"/>
                <w:sz w:val="20"/>
              </w:rPr>
              <w:t>Although renewable, possible implications for other environmental impacts (e.g. higher energy use) would need to be considered.</w:t>
            </w:r>
          </w:p>
          <w:p w14:paraId="3BF8CA93" w14:textId="77777777" w:rsidR="00161903" w:rsidRPr="00161903" w:rsidRDefault="00161903" w:rsidP="00B20579">
            <w:pPr>
              <w:pStyle w:val="Table-Contents"/>
              <w:rPr>
                <w:rFonts w:ascii="Verdana" w:hAnsi="Verdana"/>
                <w:sz w:val="20"/>
              </w:rPr>
            </w:pPr>
            <w:r w:rsidRPr="00161903">
              <w:rPr>
                <w:rFonts w:ascii="Verdana" w:hAnsi="Verdana"/>
                <w:sz w:val="20"/>
              </w:rPr>
              <w:t>Potentially higher cost implications for end users/consumers.</w:t>
            </w:r>
          </w:p>
        </w:tc>
      </w:tr>
      <w:tr w:rsidR="00161903" w14:paraId="4254D50E" w14:textId="77777777" w:rsidTr="009A50EF">
        <w:trPr>
          <w:cantSplit/>
        </w:trPr>
        <w:tc>
          <w:tcPr>
            <w:tcW w:w="2308" w:type="dxa"/>
          </w:tcPr>
          <w:p w14:paraId="1B02B155" w14:textId="77777777" w:rsidR="00161903" w:rsidRPr="00161903" w:rsidRDefault="00161903" w:rsidP="00B20579">
            <w:pPr>
              <w:pStyle w:val="Table-Contents"/>
              <w:rPr>
                <w:rFonts w:ascii="Verdana" w:hAnsi="Verdana"/>
                <w:sz w:val="20"/>
              </w:rPr>
            </w:pPr>
            <w:r w:rsidRPr="00161903">
              <w:rPr>
                <w:rFonts w:ascii="Verdana" w:hAnsi="Verdana"/>
                <w:sz w:val="20"/>
              </w:rPr>
              <w:t>PVC cables</w:t>
            </w:r>
          </w:p>
        </w:tc>
        <w:tc>
          <w:tcPr>
            <w:tcW w:w="1798" w:type="dxa"/>
          </w:tcPr>
          <w:p w14:paraId="5159BE07" w14:textId="77777777" w:rsidR="00161903" w:rsidRPr="00161903" w:rsidRDefault="00161903" w:rsidP="00B20579">
            <w:pPr>
              <w:pStyle w:val="Table-Contents"/>
              <w:tabs>
                <w:tab w:val="right" w:pos="1964"/>
              </w:tabs>
              <w:rPr>
                <w:rFonts w:ascii="Verdana" w:hAnsi="Verdana"/>
                <w:sz w:val="20"/>
              </w:rPr>
            </w:pPr>
            <w:r w:rsidRPr="00161903">
              <w:rPr>
                <w:rFonts w:ascii="Verdana" w:hAnsi="Verdana"/>
                <w:sz w:val="20"/>
              </w:rPr>
              <w:t xml:space="preserve">Polyethylene, polypropylene, </w:t>
            </w:r>
            <w:proofErr w:type="spellStart"/>
            <w:r w:rsidRPr="00161903">
              <w:rPr>
                <w:rFonts w:ascii="Verdana" w:hAnsi="Verdana"/>
                <w:sz w:val="20"/>
              </w:rPr>
              <w:t>fluoroplastics</w:t>
            </w:r>
            <w:proofErr w:type="spellEnd"/>
            <w:r w:rsidRPr="00161903">
              <w:rPr>
                <w:rFonts w:ascii="Verdana" w:hAnsi="Verdana"/>
                <w:sz w:val="20"/>
              </w:rPr>
              <w:t>, others</w:t>
            </w:r>
            <w:r w:rsidRPr="00161903">
              <w:rPr>
                <w:rFonts w:ascii="Verdana" w:hAnsi="Verdana"/>
                <w:sz w:val="20"/>
              </w:rPr>
              <w:tab/>
            </w:r>
          </w:p>
        </w:tc>
        <w:tc>
          <w:tcPr>
            <w:tcW w:w="4253" w:type="dxa"/>
          </w:tcPr>
          <w:p w14:paraId="7ADBFC90" w14:textId="77777777" w:rsidR="00161903" w:rsidRPr="00161903" w:rsidRDefault="00161903" w:rsidP="00B20579">
            <w:pPr>
              <w:pStyle w:val="Table-Contents"/>
              <w:rPr>
                <w:rFonts w:ascii="Verdana" w:hAnsi="Verdana"/>
                <w:sz w:val="20"/>
              </w:rPr>
            </w:pPr>
            <w:r w:rsidRPr="00161903">
              <w:rPr>
                <w:rFonts w:ascii="Verdana" w:hAnsi="Verdana"/>
                <w:sz w:val="20"/>
              </w:rPr>
              <w:t>Requires addition of other additives (e.g. heat/UV stabilisers, flame retardants), some with unknown risk profiles.</w:t>
            </w:r>
          </w:p>
          <w:p w14:paraId="64752156" w14:textId="77777777" w:rsidR="00161903" w:rsidRPr="00161903" w:rsidRDefault="00161903" w:rsidP="00B20579">
            <w:pPr>
              <w:pStyle w:val="Table-Contents"/>
              <w:rPr>
                <w:rFonts w:ascii="Verdana" w:hAnsi="Verdana"/>
                <w:sz w:val="20"/>
              </w:rPr>
            </w:pPr>
            <w:r w:rsidRPr="00161903">
              <w:rPr>
                <w:rFonts w:ascii="Verdana" w:hAnsi="Verdana"/>
                <w:sz w:val="20"/>
              </w:rPr>
              <w:t xml:space="preserve">Flame </w:t>
            </w:r>
            <w:proofErr w:type="spellStart"/>
            <w:r w:rsidRPr="00161903">
              <w:rPr>
                <w:rFonts w:ascii="Verdana" w:hAnsi="Verdana"/>
                <w:sz w:val="20"/>
              </w:rPr>
              <w:t>retardancy</w:t>
            </w:r>
            <w:proofErr w:type="spellEnd"/>
            <w:r w:rsidRPr="00161903">
              <w:rPr>
                <w:rFonts w:ascii="Verdana" w:hAnsi="Verdana"/>
                <w:sz w:val="20"/>
              </w:rPr>
              <w:t xml:space="preserve"> requirements can be achieved</w:t>
            </w:r>
          </w:p>
          <w:p w14:paraId="7C8CD859" w14:textId="77777777" w:rsidR="00161903" w:rsidRPr="00161903" w:rsidRDefault="00161903" w:rsidP="00B20579">
            <w:pPr>
              <w:pStyle w:val="Table-Contents"/>
              <w:rPr>
                <w:rFonts w:ascii="Verdana" w:hAnsi="Verdana"/>
                <w:sz w:val="20"/>
              </w:rPr>
            </w:pPr>
            <w:r w:rsidRPr="00161903">
              <w:rPr>
                <w:rFonts w:ascii="Verdana" w:hAnsi="Verdana"/>
                <w:sz w:val="20"/>
              </w:rPr>
              <w:t>Production costs 50-200% higher (additional costs for overall electrical installation 10-20% higher).</w:t>
            </w:r>
          </w:p>
        </w:tc>
      </w:tr>
      <w:tr w:rsidR="00161903" w14:paraId="059761B4" w14:textId="77777777" w:rsidTr="009A50EF">
        <w:trPr>
          <w:cantSplit/>
        </w:trPr>
        <w:tc>
          <w:tcPr>
            <w:tcW w:w="2308" w:type="dxa"/>
          </w:tcPr>
          <w:p w14:paraId="4B7E4457" w14:textId="77777777" w:rsidR="00161903" w:rsidRPr="00161903" w:rsidRDefault="00161903" w:rsidP="00B20579">
            <w:pPr>
              <w:pStyle w:val="Table-Contents"/>
              <w:rPr>
                <w:rFonts w:ascii="Verdana" w:hAnsi="Verdana"/>
                <w:sz w:val="20"/>
              </w:rPr>
            </w:pPr>
            <w:r w:rsidRPr="00161903">
              <w:rPr>
                <w:rFonts w:ascii="Verdana" w:hAnsi="Verdana"/>
                <w:sz w:val="20"/>
              </w:rPr>
              <w:t>PVC – others (e.g. extruded products)</w:t>
            </w:r>
          </w:p>
        </w:tc>
        <w:tc>
          <w:tcPr>
            <w:tcW w:w="6051" w:type="dxa"/>
            <w:gridSpan w:val="2"/>
          </w:tcPr>
          <w:p w14:paraId="461097AB" w14:textId="77777777" w:rsidR="00161903" w:rsidRPr="00161903" w:rsidRDefault="00161903" w:rsidP="00B20579">
            <w:pPr>
              <w:pStyle w:val="Table-Contents"/>
              <w:rPr>
                <w:rFonts w:ascii="Verdana" w:hAnsi="Verdana"/>
                <w:sz w:val="20"/>
              </w:rPr>
            </w:pPr>
            <w:r w:rsidRPr="00161903">
              <w:rPr>
                <w:rFonts w:ascii="Verdana" w:hAnsi="Verdana"/>
                <w:sz w:val="20"/>
              </w:rPr>
              <w:t>Wide range of products – not practicable to identify alternatives.</w:t>
            </w:r>
          </w:p>
        </w:tc>
      </w:tr>
      <w:tr w:rsidR="00161903" w14:paraId="75F6B2EA" w14:textId="77777777" w:rsidTr="009A50EF">
        <w:trPr>
          <w:cantSplit/>
        </w:trPr>
        <w:tc>
          <w:tcPr>
            <w:tcW w:w="2308" w:type="dxa"/>
          </w:tcPr>
          <w:p w14:paraId="1B8BDD0E" w14:textId="77777777" w:rsidR="00161903" w:rsidRPr="00161903" w:rsidRDefault="00161903" w:rsidP="00B20579">
            <w:pPr>
              <w:pStyle w:val="Table-Contents"/>
              <w:rPr>
                <w:rFonts w:ascii="Verdana" w:hAnsi="Verdana"/>
                <w:sz w:val="20"/>
              </w:rPr>
            </w:pPr>
            <w:r w:rsidRPr="00161903">
              <w:rPr>
                <w:rFonts w:ascii="Verdana" w:hAnsi="Verdana"/>
                <w:sz w:val="20"/>
              </w:rPr>
              <w:t>Metalworking fluids</w:t>
            </w:r>
          </w:p>
        </w:tc>
        <w:tc>
          <w:tcPr>
            <w:tcW w:w="1798" w:type="dxa"/>
          </w:tcPr>
          <w:p w14:paraId="5FAC316F" w14:textId="77777777" w:rsidR="00161903" w:rsidRPr="00161903" w:rsidRDefault="00161903" w:rsidP="00B20579">
            <w:pPr>
              <w:pStyle w:val="Table-Contents"/>
              <w:rPr>
                <w:rFonts w:ascii="Verdana" w:hAnsi="Verdana"/>
                <w:sz w:val="20"/>
              </w:rPr>
            </w:pPr>
            <w:r w:rsidRPr="00161903">
              <w:rPr>
                <w:rFonts w:ascii="Verdana" w:hAnsi="Verdana"/>
                <w:sz w:val="20"/>
              </w:rPr>
              <w:t>Improved precision casting techniques</w:t>
            </w:r>
          </w:p>
        </w:tc>
        <w:tc>
          <w:tcPr>
            <w:tcW w:w="4253" w:type="dxa"/>
          </w:tcPr>
          <w:p w14:paraId="6BF156DF" w14:textId="2ABFE098" w:rsidR="00161903" w:rsidRPr="00161903" w:rsidRDefault="00161903" w:rsidP="00B20579">
            <w:pPr>
              <w:pStyle w:val="Table-Contents"/>
              <w:rPr>
                <w:rFonts w:ascii="Verdana" w:hAnsi="Verdana"/>
                <w:sz w:val="20"/>
              </w:rPr>
            </w:pPr>
            <w:r w:rsidRPr="00161903">
              <w:rPr>
                <w:rFonts w:ascii="Verdana" w:hAnsi="Verdana"/>
                <w:sz w:val="20"/>
              </w:rPr>
              <w:t xml:space="preserve">May negate the </w:t>
            </w:r>
            <w:r>
              <w:rPr>
                <w:rFonts w:ascii="Verdana" w:hAnsi="Verdana"/>
                <w:sz w:val="20"/>
              </w:rPr>
              <w:t>need</w:t>
            </w:r>
            <w:r w:rsidRPr="00161903">
              <w:rPr>
                <w:rFonts w:ascii="Verdana" w:hAnsi="Verdana"/>
                <w:sz w:val="20"/>
              </w:rPr>
              <w:t xml:space="preserve"> for </w:t>
            </w:r>
            <w:r w:rsidR="000578F2">
              <w:rPr>
                <w:rFonts w:ascii="Verdana" w:hAnsi="Verdana"/>
                <w:sz w:val="20"/>
              </w:rPr>
              <w:t>MCCPs</w:t>
            </w:r>
            <w:r w:rsidR="00607BBD">
              <w:rPr>
                <w:rFonts w:ascii="Verdana" w:hAnsi="Verdana"/>
                <w:sz w:val="20"/>
              </w:rPr>
              <w:t xml:space="preserve"> </w:t>
            </w:r>
            <w:r w:rsidRPr="00161903">
              <w:rPr>
                <w:rFonts w:ascii="Verdana" w:hAnsi="Verdana"/>
                <w:sz w:val="20"/>
              </w:rPr>
              <w:t>in some applications.</w:t>
            </w:r>
          </w:p>
          <w:p w14:paraId="249EAA44" w14:textId="1E17FD64" w:rsidR="00161903" w:rsidRPr="00161903" w:rsidRDefault="00161903" w:rsidP="00161903">
            <w:pPr>
              <w:pStyle w:val="Table-Contents"/>
              <w:rPr>
                <w:rFonts w:ascii="Verdana" w:hAnsi="Verdana"/>
                <w:sz w:val="20"/>
              </w:rPr>
            </w:pPr>
            <w:r w:rsidRPr="00161903">
              <w:rPr>
                <w:rFonts w:ascii="Verdana" w:hAnsi="Verdana"/>
                <w:sz w:val="20"/>
              </w:rPr>
              <w:t xml:space="preserve">Not suitable for all applications where </w:t>
            </w:r>
            <w:r w:rsidR="000578F2">
              <w:rPr>
                <w:rFonts w:ascii="Verdana" w:hAnsi="Verdana"/>
                <w:sz w:val="20"/>
              </w:rPr>
              <w:t>MCCPs</w:t>
            </w:r>
            <w:r w:rsidR="00607BBD">
              <w:rPr>
                <w:rFonts w:ascii="Verdana" w:hAnsi="Verdana"/>
                <w:sz w:val="20"/>
              </w:rPr>
              <w:t xml:space="preserve"> </w:t>
            </w:r>
            <w:r w:rsidRPr="00161903">
              <w:rPr>
                <w:rFonts w:ascii="Verdana" w:hAnsi="Verdana"/>
                <w:sz w:val="20"/>
              </w:rPr>
              <w:t>used.</w:t>
            </w:r>
          </w:p>
        </w:tc>
      </w:tr>
      <w:tr w:rsidR="00161903" w14:paraId="71DCD61B" w14:textId="77777777" w:rsidTr="009A50EF">
        <w:trPr>
          <w:cantSplit/>
        </w:trPr>
        <w:tc>
          <w:tcPr>
            <w:tcW w:w="2308" w:type="dxa"/>
          </w:tcPr>
          <w:p w14:paraId="69EA03AF" w14:textId="77777777" w:rsidR="00161903" w:rsidRPr="00161903" w:rsidRDefault="00161903" w:rsidP="00B20579">
            <w:pPr>
              <w:pStyle w:val="Table-Contents"/>
              <w:rPr>
                <w:rFonts w:ascii="Verdana" w:hAnsi="Verdana"/>
                <w:sz w:val="20"/>
              </w:rPr>
            </w:pPr>
            <w:r w:rsidRPr="00161903">
              <w:rPr>
                <w:rFonts w:ascii="Verdana" w:hAnsi="Verdana"/>
                <w:sz w:val="20"/>
              </w:rPr>
              <w:t>Rubber / plastics other than PVC</w:t>
            </w:r>
          </w:p>
        </w:tc>
        <w:tc>
          <w:tcPr>
            <w:tcW w:w="6051" w:type="dxa"/>
            <w:gridSpan w:val="2"/>
          </w:tcPr>
          <w:p w14:paraId="519C3CFF" w14:textId="77777777" w:rsidR="00161903" w:rsidRPr="00161903" w:rsidRDefault="00161903" w:rsidP="00B20579">
            <w:pPr>
              <w:pStyle w:val="Table-Contents"/>
              <w:rPr>
                <w:rFonts w:ascii="Verdana" w:hAnsi="Verdana"/>
                <w:sz w:val="20"/>
              </w:rPr>
            </w:pPr>
            <w:r w:rsidRPr="00161903">
              <w:rPr>
                <w:rFonts w:ascii="Verdana" w:hAnsi="Verdana"/>
                <w:sz w:val="20"/>
              </w:rPr>
              <w:t>Non-substance alternatives not identified for main uses (conveyor belts in mining, bellows for buses/trains, fireproof doors).</w:t>
            </w:r>
          </w:p>
        </w:tc>
      </w:tr>
      <w:tr w:rsidR="00161903" w14:paraId="4701C32E" w14:textId="77777777" w:rsidTr="009A50EF">
        <w:trPr>
          <w:cantSplit/>
        </w:trPr>
        <w:tc>
          <w:tcPr>
            <w:tcW w:w="2308" w:type="dxa"/>
          </w:tcPr>
          <w:p w14:paraId="400EB0FC" w14:textId="5F545C9F" w:rsidR="00161903" w:rsidRPr="00161903" w:rsidRDefault="003559D5" w:rsidP="003559D5">
            <w:pPr>
              <w:pStyle w:val="Table-Contents"/>
              <w:rPr>
                <w:rFonts w:ascii="Verdana" w:hAnsi="Verdana"/>
                <w:sz w:val="20"/>
              </w:rPr>
            </w:pPr>
            <w:r>
              <w:rPr>
                <w:rFonts w:ascii="Verdana" w:hAnsi="Verdana"/>
                <w:sz w:val="20"/>
              </w:rPr>
              <w:t>Adhesives/</w:t>
            </w:r>
            <w:r w:rsidR="00161903">
              <w:rPr>
                <w:rFonts w:ascii="Verdana" w:hAnsi="Verdana"/>
                <w:sz w:val="20"/>
              </w:rPr>
              <w:t>sealants</w:t>
            </w:r>
          </w:p>
        </w:tc>
        <w:tc>
          <w:tcPr>
            <w:tcW w:w="1798" w:type="dxa"/>
          </w:tcPr>
          <w:p w14:paraId="0EA89209" w14:textId="28C410E6" w:rsidR="00161903" w:rsidRPr="00161903" w:rsidRDefault="0095665C" w:rsidP="00B20579">
            <w:pPr>
              <w:pStyle w:val="Table-Contents"/>
              <w:rPr>
                <w:rFonts w:ascii="Verdana" w:hAnsi="Verdana"/>
                <w:sz w:val="20"/>
              </w:rPr>
            </w:pPr>
            <w:r>
              <w:rPr>
                <w:rFonts w:ascii="Verdana" w:hAnsi="Verdana"/>
                <w:sz w:val="20"/>
              </w:rPr>
              <w:t>None identified</w:t>
            </w:r>
          </w:p>
        </w:tc>
        <w:tc>
          <w:tcPr>
            <w:tcW w:w="4253" w:type="dxa"/>
          </w:tcPr>
          <w:p w14:paraId="69784BD3" w14:textId="42722B5C" w:rsidR="00161903" w:rsidRPr="00161903" w:rsidRDefault="00161903" w:rsidP="003559D5">
            <w:pPr>
              <w:pStyle w:val="Table-Contents"/>
              <w:rPr>
                <w:rFonts w:ascii="Verdana" w:hAnsi="Verdana"/>
                <w:sz w:val="20"/>
              </w:rPr>
            </w:pPr>
          </w:p>
        </w:tc>
      </w:tr>
      <w:tr w:rsidR="00161903" w14:paraId="150E14CC" w14:textId="77777777" w:rsidTr="009A50EF">
        <w:trPr>
          <w:cantSplit/>
        </w:trPr>
        <w:tc>
          <w:tcPr>
            <w:tcW w:w="2308" w:type="dxa"/>
          </w:tcPr>
          <w:p w14:paraId="6E750969" w14:textId="57DD9BB3" w:rsidR="00161903" w:rsidRPr="00161903" w:rsidRDefault="00161903" w:rsidP="00161903">
            <w:pPr>
              <w:pStyle w:val="Table-Contents"/>
              <w:rPr>
                <w:rFonts w:ascii="Verdana" w:hAnsi="Verdana"/>
                <w:sz w:val="20"/>
              </w:rPr>
            </w:pPr>
            <w:r>
              <w:rPr>
                <w:rFonts w:ascii="Verdana" w:hAnsi="Verdana"/>
                <w:sz w:val="20"/>
              </w:rPr>
              <w:t xml:space="preserve">Textile </w:t>
            </w:r>
            <w:r w:rsidR="00AF3CB0">
              <w:rPr>
                <w:rFonts w:ascii="Verdana" w:hAnsi="Verdana"/>
                <w:sz w:val="20"/>
              </w:rPr>
              <w:t>treatments</w:t>
            </w:r>
          </w:p>
        </w:tc>
        <w:tc>
          <w:tcPr>
            <w:tcW w:w="1798" w:type="dxa"/>
          </w:tcPr>
          <w:p w14:paraId="1AF6E314" w14:textId="40635D41" w:rsidR="00161903" w:rsidRPr="00161903" w:rsidRDefault="0095665C" w:rsidP="00B20579">
            <w:pPr>
              <w:pStyle w:val="Table-Contents"/>
              <w:rPr>
                <w:rFonts w:ascii="Verdana" w:hAnsi="Verdana"/>
                <w:sz w:val="20"/>
              </w:rPr>
            </w:pPr>
            <w:r>
              <w:rPr>
                <w:rFonts w:ascii="Verdana" w:hAnsi="Verdana"/>
                <w:sz w:val="20"/>
              </w:rPr>
              <w:t>None identified</w:t>
            </w:r>
          </w:p>
        </w:tc>
        <w:tc>
          <w:tcPr>
            <w:tcW w:w="4253" w:type="dxa"/>
          </w:tcPr>
          <w:p w14:paraId="0C723954" w14:textId="77777777" w:rsidR="00161903" w:rsidRPr="00161903" w:rsidRDefault="00161903" w:rsidP="00B20579">
            <w:pPr>
              <w:pStyle w:val="Table-Contents"/>
              <w:rPr>
                <w:rFonts w:ascii="Verdana" w:hAnsi="Verdana"/>
                <w:sz w:val="20"/>
              </w:rPr>
            </w:pPr>
          </w:p>
        </w:tc>
      </w:tr>
      <w:tr w:rsidR="00161903" w14:paraId="690A8329" w14:textId="77777777" w:rsidTr="009A50EF">
        <w:trPr>
          <w:cantSplit/>
        </w:trPr>
        <w:tc>
          <w:tcPr>
            <w:tcW w:w="2308" w:type="dxa"/>
          </w:tcPr>
          <w:p w14:paraId="29EE7E72" w14:textId="34AF256B" w:rsidR="00161903" w:rsidRPr="00161903" w:rsidRDefault="00161903" w:rsidP="00B20579">
            <w:pPr>
              <w:pStyle w:val="Table-Contents"/>
              <w:rPr>
                <w:rFonts w:ascii="Verdana" w:hAnsi="Verdana"/>
                <w:sz w:val="20"/>
              </w:rPr>
            </w:pPr>
            <w:r>
              <w:rPr>
                <w:rFonts w:ascii="Verdana" w:hAnsi="Verdana"/>
                <w:sz w:val="20"/>
              </w:rPr>
              <w:t>Paints/coatings</w:t>
            </w:r>
          </w:p>
        </w:tc>
        <w:tc>
          <w:tcPr>
            <w:tcW w:w="1798" w:type="dxa"/>
          </w:tcPr>
          <w:p w14:paraId="3D759BEE" w14:textId="188CBDC6" w:rsidR="00161903" w:rsidRPr="00161903" w:rsidRDefault="0095665C" w:rsidP="00B20579">
            <w:pPr>
              <w:pStyle w:val="Table-Contents"/>
              <w:rPr>
                <w:rFonts w:ascii="Verdana" w:hAnsi="Verdana"/>
                <w:sz w:val="20"/>
              </w:rPr>
            </w:pPr>
            <w:r>
              <w:rPr>
                <w:rFonts w:ascii="Verdana" w:hAnsi="Verdana"/>
                <w:sz w:val="20"/>
              </w:rPr>
              <w:t>None identified</w:t>
            </w:r>
          </w:p>
        </w:tc>
        <w:tc>
          <w:tcPr>
            <w:tcW w:w="4253" w:type="dxa"/>
          </w:tcPr>
          <w:p w14:paraId="63EBD300" w14:textId="77777777" w:rsidR="00161903" w:rsidRPr="00161903" w:rsidRDefault="00161903" w:rsidP="00B20579">
            <w:pPr>
              <w:pStyle w:val="Table-Contents"/>
              <w:rPr>
                <w:rFonts w:ascii="Verdana" w:hAnsi="Verdana"/>
                <w:sz w:val="20"/>
              </w:rPr>
            </w:pPr>
          </w:p>
        </w:tc>
      </w:tr>
      <w:tr w:rsidR="00161903" w14:paraId="26F508A9" w14:textId="77777777" w:rsidTr="009A50EF">
        <w:trPr>
          <w:cantSplit/>
        </w:trPr>
        <w:tc>
          <w:tcPr>
            <w:tcW w:w="2308" w:type="dxa"/>
          </w:tcPr>
          <w:p w14:paraId="179813AB" w14:textId="3E3B53DC" w:rsidR="00161903" w:rsidRPr="00161903" w:rsidRDefault="00161903" w:rsidP="00B20579">
            <w:pPr>
              <w:pStyle w:val="Table-Contents"/>
              <w:rPr>
                <w:rFonts w:ascii="Verdana" w:hAnsi="Verdana"/>
                <w:sz w:val="20"/>
              </w:rPr>
            </w:pPr>
            <w:r>
              <w:rPr>
                <w:rFonts w:ascii="Verdana" w:hAnsi="Verdana"/>
                <w:sz w:val="20"/>
              </w:rPr>
              <w:t>Paper</w:t>
            </w:r>
          </w:p>
        </w:tc>
        <w:tc>
          <w:tcPr>
            <w:tcW w:w="1798" w:type="dxa"/>
          </w:tcPr>
          <w:p w14:paraId="40373A26" w14:textId="6A59125E" w:rsidR="00161903" w:rsidRPr="00161903" w:rsidRDefault="0095665C" w:rsidP="00B20579">
            <w:pPr>
              <w:pStyle w:val="Table-Contents"/>
              <w:rPr>
                <w:rFonts w:ascii="Verdana" w:hAnsi="Verdana"/>
                <w:sz w:val="20"/>
              </w:rPr>
            </w:pPr>
            <w:r>
              <w:rPr>
                <w:rFonts w:ascii="Verdana" w:hAnsi="Verdana"/>
                <w:sz w:val="20"/>
              </w:rPr>
              <w:t>None identified</w:t>
            </w:r>
          </w:p>
        </w:tc>
        <w:tc>
          <w:tcPr>
            <w:tcW w:w="4253" w:type="dxa"/>
          </w:tcPr>
          <w:p w14:paraId="21BE9208" w14:textId="77777777" w:rsidR="00161903" w:rsidRPr="00161903" w:rsidRDefault="00161903" w:rsidP="00B20579">
            <w:pPr>
              <w:pStyle w:val="Table-Contents"/>
              <w:rPr>
                <w:rFonts w:ascii="Verdana" w:hAnsi="Verdana"/>
                <w:sz w:val="20"/>
              </w:rPr>
            </w:pPr>
          </w:p>
        </w:tc>
      </w:tr>
    </w:tbl>
    <w:p w14:paraId="2B92F2BF" w14:textId="77777777" w:rsidR="00161903" w:rsidRDefault="00161903" w:rsidP="00161903">
      <w:pPr>
        <w:pStyle w:val="BodyText"/>
        <w:rPr>
          <w:rFonts w:ascii="Verdana" w:hAnsi="Verdana"/>
          <w:sz w:val="20"/>
        </w:rPr>
      </w:pPr>
    </w:p>
    <w:p w14:paraId="605CC100" w14:textId="77777777" w:rsidR="00490271" w:rsidRDefault="00533DBE" w:rsidP="00533DBE">
      <w:pPr>
        <w:pStyle w:val="Heading3"/>
      </w:pPr>
      <w:r>
        <w:lastRenderedPageBreak/>
        <w:t>Uncertainties</w:t>
      </w:r>
    </w:p>
    <w:p w14:paraId="034A888E" w14:textId="19609476" w:rsidR="009C2BBA" w:rsidRPr="009C2BBA" w:rsidRDefault="009C2BBA" w:rsidP="00D85444">
      <w:pPr>
        <w:spacing w:after="0"/>
        <w:jc w:val="both"/>
        <w:rPr>
          <w:rFonts w:ascii="Verdana" w:hAnsi="Verdana" w:cs="Arial"/>
          <w:sz w:val="20"/>
          <w:szCs w:val="20"/>
        </w:rPr>
      </w:pPr>
      <w:r w:rsidRPr="009C2BBA">
        <w:rPr>
          <w:rFonts w:ascii="Verdana" w:hAnsi="Verdana" w:cs="Arial"/>
          <w:sz w:val="20"/>
          <w:szCs w:val="20"/>
        </w:rPr>
        <w:t>The following sources of uncertainty could influence decisions on the most appropriate regulatory action</w:t>
      </w:r>
      <w:r w:rsidR="00B90190">
        <w:rPr>
          <w:rFonts w:ascii="Verdana" w:hAnsi="Verdana" w:cs="Arial"/>
          <w:sz w:val="20"/>
          <w:szCs w:val="20"/>
        </w:rPr>
        <w:t>s</w:t>
      </w:r>
      <w:r w:rsidRPr="009C2BBA">
        <w:rPr>
          <w:rFonts w:ascii="Verdana" w:hAnsi="Verdana" w:cs="Arial"/>
          <w:sz w:val="20"/>
          <w:szCs w:val="20"/>
        </w:rPr>
        <w:t xml:space="preserve"> to </w:t>
      </w:r>
      <w:r w:rsidR="002523AF">
        <w:rPr>
          <w:rFonts w:ascii="Verdana" w:hAnsi="Verdana" w:cs="Arial"/>
          <w:sz w:val="20"/>
          <w:szCs w:val="20"/>
        </w:rPr>
        <w:t xml:space="preserve">minimize </w:t>
      </w:r>
      <w:r w:rsidR="000578F2">
        <w:rPr>
          <w:rFonts w:ascii="Verdana" w:hAnsi="Verdana" w:cs="Arial"/>
          <w:sz w:val="20"/>
          <w:szCs w:val="20"/>
        </w:rPr>
        <w:t>MCCPs</w:t>
      </w:r>
      <w:r w:rsidR="00607BBD">
        <w:rPr>
          <w:rFonts w:ascii="Verdana" w:hAnsi="Verdana" w:cs="Arial"/>
          <w:sz w:val="20"/>
          <w:szCs w:val="20"/>
        </w:rPr>
        <w:t xml:space="preserve"> </w:t>
      </w:r>
      <w:r w:rsidR="002523AF">
        <w:rPr>
          <w:rFonts w:ascii="Verdana" w:hAnsi="Verdana" w:cs="Arial"/>
          <w:sz w:val="20"/>
          <w:szCs w:val="20"/>
        </w:rPr>
        <w:t>releases as far as technically and practically achievable</w:t>
      </w:r>
      <w:r w:rsidRPr="009C2BBA">
        <w:rPr>
          <w:rFonts w:ascii="Verdana" w:hAnsi="Verdana" w:cs="Arial"/>
          <w:sz w:val="20"/>
          <w:szCs w:val="20"/>
        </w:rPr>
        <w:t>:</w:t>
      </w:r>
    </w:p>
    <w:p w14:paraId="5D65727F" w14:textId="77777777" w:rsidR="009C2BBA" w:rsidRDefault="009C2BBA" w:rsidP="009C2BBA">
      <w:pPr>
        <w:spacing w:after="0"/>
        <w:rPr>
          <w:rFonts w:cs="Arial"/>
        </w:rPr>
      </w:pPr>
    </w:p>
    <w:p w14:paraId="17E653D9" w14:textId="41158D6E" w:rsidR="009C2BBA" w:rsidRDefault="009C2BBA" w:rsidP="009C2BBA">
      <w:pPr>
        <w:spacing w:after="0"/>
        <w:rPr>
          <w:rFonts w:ascii="Verdana" w:hAnsi="Verdana" w:cs="Arial"/>
          <w:b/>
          <w:sz w:val="20"/>
          <w:szCs w:val="20"/>
        </w:rPr>
      </w:pPr>
      <w:r w:rsidRPr="009C2BBA">
        <w:rPr>
          <w:rFonts w:ascii="Verdana" w:hAnsi="Verdana" w:cs="Arial"/>
          <w:b/>
          <w:sz w:val="20"/>
          <w:szCs w:val="20"/>
        </w:rPr>
        <w:t>I</w:t>
      </w:r>
      <w:r w:rsidR="000F36AF">
        <w:rPr>
          <w:rFonts w:ascii="Verdana" w:hAnsi="Verdana" w:cs="Arial"/>
          <w:b/>
          <w:sz w:val="20"/>
          <w:szCs w:val="20"/>
        </w:rPr>
        <w:t>dentity</w:t>
      </w:r>
      <w:r w:rsidR="0066374C">
        <w:rPr>
          <w:rFonts w:ascii="Verdana" w:hAnsi="Verdana" w:cs="Arial"/>
          <w:b/>
          <w:sz w:val="20"/>
          <w:szCs w:val="20"/>
        </w:rPr>
        <w:t xml:space="preserve">, </w:t>
      </w:r>
      <w:r w:rsidR="000F36AF">
        <w:rPr>
          <w:rFonts w:ascii="Verdana" w:hAnsi="Verdana" w:cs="Arial"/>
          <w:b/>
          <w:sz w:val="20"/>
          <w:szCs w:val="20"/>
        </w:rPr>
        <w:t xml:space="preserve">composition </w:t>
      </w:r>
      <w:r w:rsidR="0066374C">
        <w:rPr>
          <w:rFonts w:ascii="Verdana" w:hAnsi="Verdana" w:cs="Arial"/>
          <w:b/>
          <w:sz w:val="20"/>
          <w:szCs w:val="20"/>
        </w:rPr>
        <w:t xml:space="preserve">and analysis </w:t>
      </w:r>
      <w:r w:rsidR="000F36AF">
        <w:rPr>
          <w:rFonts w:ascii="Verdana" w:hAnsi="Verdana" w:cs="Arial"/>
          <w:b/>
          <w:sz w:val="20"/>
          <w:szCs w:val="20"/>
        </w:rPr>
        <w:t xml:space="preserve">of </w:t>
      </w:r>
      <w:r w:rsidR="000578F2">
        <w:rPr>
          <w:rFonts w:ascii="Verdana" w:hAnsi="Verdana" w:cs="Arial"/>
          <w:b/>
          <w:sz w:val="20"/>
          <w:szCs w:val="20"/>
        </w:rPr>
        <w:t>MCCPs</w:t>
      </w:r>
    </w:p>
    <w:p w14:paraId="4FB7B4A7" w14:textId="77777777" w:rsidR="00AE6AFD" w:rsidRPr="009C2BBA" w:rsidRDefault="00AE6AFD" w:rsidP="009C2BBA">
      <w:pPr>
        <w:spacing w:after="0"/>
        <w:rPr>
          <w:rFonts w:ascii="Verdana" w:hAnsi="Verdana" w:cs="Arial"/>
          <w:sz w:val="20"/>
          <w:szCs w:val="20"/>
        </w:rPr>
      </w:pPr>
    </w:p>
    <w:p w14:paraId="28D0F2D4" w14:textId="62BA26E7" w:rsidR="00F65B6A" w:rsidRDefault="0005714E" w:rsidP="00D2081D">
      <w:pPr>
        <w:pStyle w:val="ListParagraph"/>
        <w:numPr>
          <w:ilvl w:val="0"/>
          <w:numId w:val="17"/>
        </w:numPr>
        <w:spacing w:after="0"/>
        <w:ind w:left="714" w:hanging="357"/>
        <w:jc w:val="both"/>
        <w:rPr>
          <w:rFonts w:ascii="Verdana" w:hAnsi="Verdana" w:cs="Arial"/>
          <w:sz w:val="20"/>
          <w:szCs w:val="20"/>
        </w:rPr>
      </w:pPr>
      <w:r w:rsidRPr="0045764A">
        <w:rPr>
          <w:rFonts w:ascii="Verdana" w:hAnsi="Verdana" w:cs="Arial"/>
          <w:sz w:val="20"/>
          <w:szCs w:val="20"/>
        </w:rPr>
        <w:t xml:space="preserve">The PBT/vPvB properties of </w:t>
      </w:r>
      <w:r w:rsidR="000578F2">
        <w:rPr>
          <w:rFonts w:ascii="Verdana" w:hAnsi="Verdana" w:cs="Arial"/>
          <w:sz w:val="20"/>
          <w:szCs w:val="20"/>
        </w:rPr>
        <w:t>MCCPs</w:t>
      </w:r>
      <w:r w:rsidR="00607BBD">
        <w:rPr>
          <w:rFonts w:ascii="Verdana" w:hAnsi="Verdana" w:cs="Arial"/>
          <w:sz w:val="20"/>
          <w:szCs w:val="20"/>
        </w:rPr>
        <w:t xml:space="preserve"> </w:t>
      </w:r>
      <w:r w:rsidR="009969C3">
        <w:rPr>
          <w:rFonts w:ascii="Verdana" w:hAnsi="Verdana" w:cs="Arial"/>
          <w:sz w:val="20"/>
          <w:szCs w:val="20"/>
        </w:rPr>
        <w:t>may not be associated with</w:t>
      </w:r>
      <w:r w:rsidR="00364475">
        <w:rPr>
          <w:rFonts w:ascii="Verdana" w:hAnsi="Verdana" w:cs="Arial"/>
          <w:sz w:val="20"/>
          <w:szCs w:val="20"/>
        </w:rPr>
        <w:t xml:space="preserve"> all </w:t>
      </w:r>
      <w:r w:rsidR="00556A7F">
        <w:rPr>
          <w:rFonts w:ascii="Verdana" w:hAnsi="Verdana" w:cs="Arial"/>
          <w:sz w:val="20"/>
          <w:szCs w:val="20"/>
        </w:rPr>
        <w:t xml:space="preserve">constituents </w:t>
      </w:r>
      <w:r w:rsidR="00364475">
        <w:rPr>
          <w:rFonts w:ascii="Verdana" w:hAnsi="Verdana" w:cs="Arial"/>
          <w:sz w:val="20"/>
          <w:szCs w:val="20"/>
        </w:rPr>
        <w:t xml:space="preserve">(specifically, </w:t>
      </w:r>
      <w:r w:rsidR="00556A7F">
        <w:rPr>
          <w:rFonts w:ascii="Verdana" w:hAnsi="Verdana" w:cs="Arial"/>
          <w:sz w:val="20"/>
          <w:szCs w:val="20"/>
        </w:rPr>
        <w:t>chain lengths</w:t>
      </w:r>
      <w:r w:rsidR="00556A7F" w:rsidRPr="0045764A">
        <w:rPr>
          <w:rFonts w:ascii="Verdana" w:hAnsi="Verdana" w:cs="Arial"/>
          <w:sz w:val="20"/>
          <w:szCs w:val="20"/>
        </w:rPr>
        <w:t xml:space="preserve"> </w:t>
      </w:r>
      <w:r w:rsidRPr="0045764A">
        <w:rPr>
          <w:rFonts w:ascii="Verdana" w:hAnsi="Verdana" w:cs="Arial"/>
          <w:sz w:val="20"/>
          <w:szCs w:val="20"/>
        </w:rPr>
        <w:t xml:space="preserve">with </w:t>
      </w:r>
      <w:r w:rsidR="00364475">
        <w:rPr>
          <w:rFonts w:ascii="Verdana" w:hAnsi="Verdana" w:cs="Arial"/>
          <w:sz w:val="20"/>
          <w:szCs w:val="20"/>
        </w:rPr>
        <w:t xml:space="preserve">a </w:t>
      </w:r>
      <w:r w:rsidRPr="0045764A">
        <w:rPr>
          <w:rFonts w:ascii="Verdana" w:hAnsi="Verdana" w:cs="Arial"/>
          <w:sz w:val="20"/>
          <w:szCs w:val="20"/>
        </w:rPr>
        <w:t xml:space="preserve">chlorine content </w:t>
      </w:r>
      <w:r w:rsidR="009969C3">
        <w:rPr>
          <w:rFonts w:ascii="Verdana" w:hAnsi="Verdana" w:cs="Arial"/>
          <w:sz w:val="20"/>
          <w:szCs w:val="20"/>
        </w:rPr>
        <w:t>≤ 45</w:t>
      </w:r>
      <w:r w:rsidRPr="0045764A">
        <w:rPr>
          <w:rFonts w:ascii="Verdana" w:hAnsi="Verdana" w:cs="Arial"/>
          <w:sz w:val="20"/>
          <w:szCs w:val="20"/>
        </w:rPr>
        <w:t>% w/w</w:t>
      </w:r>
      <w:r w:rsidR="00C63452">
        <w:rPr>
          <w:rFonts w:ascii="Verdana" w:hAnsi="Verdana" w:cs="Arial"/>
          <w:sz w:val="20"/>
          <w:szCs w:val="20"/>
        </w:rPr>
        <w:t>)</w:t>
      </w:r>
      <w:r w:rsidR="00622924">
        <w:rPr>
          <w:rFonts w:ascii="Verdana" w:hAnsi="Verdana" w:cs="Arial"/>
          <w:sz w:val="20"/>
          <w:szCs w:val="20"/>
        </w:rPr>
        <w:t xml:space="preserve"> I</w:t>
      </w:r>
      <w:r w:rsidR="000F36AF" w:rsidRPr="0045764A">
        <w:rPr>
          <w:rFonts w:ascii="Verdana" w:hAnsi="Verdana" w:cs="Arial"/>
          <w:sz w:val="20"/>
          <w:szCs w:val="20"/>
        </w:rPr>
        <w:t xml:space="preserve">n appraising the type and scope of regulatory risk management options, and alternatives, consideration should </w:t>
      </w:r>
      <w:r w:rsidR="00622924">
        <w:rPr>
          <w:rFonts w:ascii="Verdana" w:hAnsi="Verdana" w:cs="Arial"/>
          <w:sz w:val="20"/>
          <w:szCs w:val="20"/>
        </w:rPr>
        <w:t xml:space="preserve">therefore </w:t>
      </w:r>
      <w:r w:rsidR="000F36AF" w:rsidRPr="0045764A">
        <w:rPr>
          <w:rFonts w:ascii="Verdana" w:hAnsi="Verdana" w:cs="Arial"/>
          <w:sz w:val="20"/>
          <w:szCs w:val="20"/>
        </w:rPr>
        <w:t xml:space="preserve">be given to uses that could switch to </w:t>
      </w:r>
      <w:r w:rsidR="000578F2">
        <w:rPr>
          <w:rFonts w:ascii="Verdana" w:hAnsi="Verdana" w:cs="Arial"/>
          <w:sz w:val="20"/>
          <w:szCs w:val="20"/>
        </w:rPr>
        <w:t>MCCPs</w:t>
      </w:r>
      <w:r w:rsidR="00607BBD">
        <w:rPr>
          <w:rFonts w:ascii="Verdana" w:hAnsi="Verdana" w:cs="Arial"/>
          <w:sz w:val="20"/>
          <w:szCs w:val="20"/>
        </w:rPr>
        <w:t xml:space="preserve"> </w:t>
      </w:r>
      <w:r w:rsidR="000F36AF" w:rsidRPr="0045764A">
        <w:rPr>
          <w:rFonts w:ascii="Verdana" w:hAnsi="Verdana" w:cs="Arial"/>
          <w:sz w:val="20"/>
          <w:szCs w:val="20"/>
        </w:rPr>
        <w:t>with lower chlorine content</w:t>
      </w:r>
      <w:r w:rsidR="001D2923">
        <w:rPr>
          <w:rFonts w:ascii="Verdana" w:hAnsi="Verdana" w:cs="Arial"/>
          <w:sz w:val="20"/>
          <w:szCs w:val="20"/>
        </w:rPr>
        <w:t>.</w:t>
      </w:r>
      <w:r w:rsidR="000F36AF" w:rsidRPr="0045764A">
        <w:rPr>
          <w:rFonts w:ascii="Verdana" w:hAnsi="Verdana" w:cs="Arial"/>
          <w:sz w:val="20"/>
          <w:szCs w:val="20"/>
        </w:rPr>
        <w:t xml:space="preserve"> </w:t>
      </w:r>
    </w:p>
    <w:p w14:paraId="72DF7A57" w14:textId="37D43CBE" w:rsidR="0066374C" w:rsidRDefault="0066374C" w:rsidP="00D2081D">
      <w:pPr>
        <w:pStyle w:val="ListParagraph"/>
        <w:numPr>
          <w:ilvl w:val="0"/>
          <w:numId w:val="17"/>
        </w:numPr>
        <w:spacing w:after="0"/>
        <w:ind w:left="714" w:hanging="357"/>
        <w:jc w:val="both"/>
        <w:rPr>
          <w:rFonts w:ascii="Verdana" w:hAnsi="Verdana" w:cs="Arial"/>
          <w:sz w:val="20"/>
          <w:szCs w:val="20"/>
        </w:rPr>
      </w:pPr>
      <w:r>
        <w:rPr>
          <w:rFonts w:ascii="Verdana" w:hAnsi="Verdana" w:cs="Arial"/>
          <w:sz w:val="20"/>
          <w:szCs w:val="20"/>
        </w:rPr>
        <w:t xml:space="preserve">The variable composition of MCCPs poses a challenge for analysis, and  the accuracy of historic environmental exposure data may reflect this. </w:t>
      </w:r>
      <w:r w:rsidR="00671E22">
        <w:rPr>
          <w:rFonts w:ascii="Verdana" w:hAnsi="Verdana" w:cs="Arial"/>
          <w:sz w:val="20"/>
          <w:szCs w:val="20"/>
        </w:rPr>
        <w:t>However, there are e</w:t>
      </w:r>
      <w:r w:rsidR="00DA12CA">
        <w:rPr>
          <w:rFonts w:ascii="Verdana" w:hAnsi="Verdana" w:cs="Arial"/>
          <w:sz w:val="20"/>
          <w:szCs w:val="20"/>
        </w:rPr>
        <w:t xml:space="preserve">xisting analytical approaches – particularly High Resolution Mass Spectrometry – </w:t>
      </w:r>
      <w:r w:rsidR="00671E22">
        <w:rPr>
          <w:rFonts w:ascii="Verdana" w:hAnsi="Verdana" w:cs="Arial"/>
          <w:sz w:val="20"/>
          <w:szCs w:val="20"/>
        </w:rPr>
        <w:t xml:space="preserve">that </w:t>
      </w:r>
      <w:r w:rsidR="00DA12CA">
        <w:rPr>
          <w:rFonts w:ascii="Verdana" w:hAnsi="Verdana" w:cs="Arial"/>
          <w:sz w:val="20"/>
          <w:szCs w:val="20"/>
        </w:rPr>
        <w:t xml:space="preserve">may provide the means to ensure the </w:t>
      </w:r>
      <w:proofErr w:type="spellStart"/>
      <w:r w:rsidR="00DA12CA">
        <w:rPr>
          <w:rFonts w:ascii="Verdana" w:hAnsi="Verdana" w:cs="Arial"/>
          <w:sz w:val="20"/>
          <w:szCs w:val="20"/>
        </w:rPr>
        <w:t>monitorability</w:t>
      </w:r>
      <w:proofErr w:type="spellEnd"/>
      <w:r w:rsidR="00DA12CA">
        <w:rPr>
          <w:rFonts w:ascii="Verdana" w:hAnsi="Verdana" w:cs="Arial"/>
          <w:sz w:val="20"/>
          <w:szCs w:val="20"/>
        </w:rPr>
        <w:t xml:space="preserve"> of any regulatory measures.</w:t>
      </w:r>
    </w:p>
    <w:p w14:paraId="663F2AA2" w14:textId="77777777" w:rsidR="00364475" w:rsidRDefault="00364475" w:rsidP="00583039">
      <w:pPr>
        <w:spacing w:after="0"/>
        <w:rPr>
          <w:rFonts w:ascii="Verdana" w:hAnsi="Verdana" w:cs="Arial"/>
          <w:b/>
          <w:sz w:val="20"/>
          <w:szCs w:val="20"/>
        </w:rPr>
      </w:pPr>
    </w:p>
    <w:p w14:paraId="3B1F6368" w14:textId="7FD62095" w:rsidR="00583039" w:rsidRDefault="00B90190" w:rsidP="00583039">
      <w:pPr>
        <w:spacing w:after="0"/>
        <w:rPr>
          <w:rFonts w:ascii="Verdana" w:hAnsi="Verdana" w:cs="Arial"/>
          <w:b/>
          <w:sz w:val="20"/>
          <w:szCs w:val="20"/>
        </w:rPr>
      </w:pPr>
      <w:r>
        <w:rPr>
          <w:rFonts w:ascii="Verdana" w:hAnsi="Verdana" w:cs="Arial"/>
          <w:b/>
          <w:sz w:val="20"/>
          <w:szCs w:val="20"/>
        </w:rPr>
        <w:t>Emissions and e</w:t>
      </w:r>
      <w:r w:rsidR="00583039" w:rsidRPr="00583039">
        <w:rPr>
          <w:rFonts w:ascii="Verdana" w:hAnsi="Verdana" w:cs="Arial"/>
          <w:b/>
          <w:sz w:val="20"/>
          <w:szCs w:val="20"/>
        </w:rPr>
        <w:t>nvironmental risk</w:t>
      </w:r>
    </w:p>
    <w:p w14:paraId="0A63B469" w14:textId="77777777" w:rsidR="00B20579" w:rsidRPr="00583039" w:rsidRDefault="00B20579" w:rsidP="00583039">
      <w:pPr>
        <w:spacing w:after="0"/>
        <w:rPr>
          <w:rFonts w:ascii="Verdana" w:hAnsi="Verdana" w:cs="Arial"/>
          <w:b/>
          <w:sz w:val="20"/>
          <w:szCs w:val="20"/>
        </w:rPr>
      </w:pPr>
    </w:p>
    <w:p w14:paraId="25A5D47E" w14:textId="5690EDB0" w:rsidR="00A95181" w:rsidRPr="00A95181" w:rsidRDefault="0087133E" w:rsidP="00943C49">
      <w:pPr>
        <w:pStyle w:val="ListParagraph"/>
        <w:numPr>
          <w:ilvl w:val="0"/>
          <w:numId w:val="16"/>
        </w:numPr>
        <w:spacing w:after="0"/>
        <w:jc w:val="both"/>
        <w:rPr>
          <w:rFonts w:ascii="Verdana" w:hAnsi="Verdana" w:cs="Arial"/>
          <w:sz w:val="20"/>
          <w:szCs w:val="20"/>
        </w:rPr>
      </w:pPr>
      <w:r w:rsidRPr="00A95181">
        <w:rPr>
          <w:rFonts w:ascii="Verdana" w:hAnsi="Verdana" w:cs="Arial"/>
          <w:sz w:val="20"/>
          <w:szCs w:val="20"/>
        </w:rPr>
        <w:t xml:space="preserve">Based on the data presented in the CSR, the formulation and use of sealants, adhesives and metalworking fluids are responsible for </w:t>
      </w:r>
      <w:r w:rsidRPr="00A95181">
        <w:rPr>
          <w:rFonts w:ascii="Verdana" w:hAnsi="Verdana" w:cs="Arial"/>
          <w:b/>
          <w:sz w:val="20"/>
          <w:szCs w:val="20"/>
        </w:rPr>
        <w:t>75%</w:t>
      </w:r>
      <w:r w:rsidRPr="00A95181">
        <w:rPr>
          <w:rFonts w:ascii="Verdana" w:hAnsi="Verdana" w:cs="Arial"/>
          <w:sz w:val="20"/>
          <w:szCs w:val="20"/>
        </w:rPr>
        <w:t xml:space="preserve"> of all </w:t>
      </w:r>
      <w:r w:rsidR="000578F2">
        <w:rPr>
          <w:rFonts w:ascii="Verdana" w:hAnsi="Verdana" w:cs="Arial"/>
          <w:sz w:val="20"/>
          <w:szCs w:val="20"/>
        </w:rPr>
        <w:t>MCCPs</w:t>
      </w:r>
      <w:r w:rsidR="00607BBD">
        <w:rPr>
          <w:rFonts w:ascii="Verdana" w:hAnsi="Verdana" w:cs="Arial"/>
          <w:sz w:val="20"/>
          <w:szCs w:val="20"/>
        </w:rPr>
        <w:t xml:space="preserve"> </w:t>
      </w:r>
      <w:r w:rsidRPr="00A95181">
        <w:rPr>
          <w:rFonts w:ascii="Verdana" w:hAnsi="Verdana" w:cs="Arial"/>
          <w:sz w:val="20"/>
          <w:szCs w:val="20"/>
        </w:rPr>
        <w:t xml:space="preserve">released to the environment from REACH registered uses. There must, however, be significant (unquantified) uncertainty around this estimate because uses (tonnages) and emission factors </w:t>
      </w:r>
      <w:r w:rsidR="00A95181" w:rsidRPr="00A95181">
        <w:rPr>
          <w:rFonts w:ascii="Verdana" w:hAnsi="Verdana" w:cs="Arial"/>
          <w:sz w:val="20"/>
          <w:szCs w:val="20"/>
        </w:rPr>
        <w:t>have been</w:t>
      </w:r>
      <w:r w:rsidRPr="00A95181">
        <w:rPr>
          <w:rFonts w:ascii="Verdana" w:hAnsi="Verdana" w:cs="Arial"/>
          <w:sz w:val="20"/>
          <w:szCs w:val="20"/>
        </w:rPr>
        <w:t xml:space="preserve"> represented by single point estimates rather than probability distributions. </w:t>
      </w:r>
      <w:r w:rsidR="00A95181" w:rsidRPr="00A95181">
        <w:rPr>
          <w:rFonts w:ascii="Verdana" w:hAnsi="Verdana" w:cs="Arial"/>
          <w:sz w:val="20"/>
          <w:szCs w:val="20"/>
        </w:rPr>
        <w:t>The uncertainty around emission estimates is highlighted by the apparent ten-fold difference in estimated releases to the environment when comparing calculations from the latest CSR</w:t>
      </w:r>
      <w:r w:rsidR="0045764A">
        <w:rPr>
          <w:rFonts w:ascii="Verdana" w:hAnsi="Verdana" w:cs="Arial"/>
          <w:sz w:val="20"/>
          <w:szCs w:val="20"/>
        </w:rPr>
        <w:t xml:space="preserve"> </w:t>
      </w:r>
      <w:r w:rsidR="00622924">
        <w:rPr>
          <w:rFonts w:ascii="Verdana" w:hAnsi="Verdana" w:cs="Arial"/>
          <w:sz w:val="20"/>
          <w:szCs w:val="20"/>
        </w:rPr>
        <w:t xml:space="preserve">(ca. </w:t>
      </w:r>
      <w:r w:rsidR="0045764A" w:rsidRPr="0045764A">
        <w:rPr>
          <w:rFonts w:ascii="Verdana" w:hAnsi="Verdana" w:cs="Arial"/>
          <w:sz w:val="20"/>
          <w:szCs w:val="20"/>
        </w:rPr>
        <w:t xml:space="preserve">300 </w:t>
      </w:r>
      <w:proofErr w:type="spellStart"/>
      <w:r w:rsidR="0045764A" w:rsidRPr="0045764A">
        <w:rPr>
          <w:rFonts w:ascii="Verdana" w:hAnsi="Verdana" w:cs="Arial"/>
          <w:sz w:val="20"/>
          <w:szCs w:val="20"/>
        </w:rPr>
        <w:t>t</w:t>
      </w:r>
      <w:r w:rsidR="00622924">
        <w:rPr>
          <w:rFonts w:ascii="Verdana" w:hAnsi="Verdana" w:cs="Arial"/>
          <w:sz w:val="20"/>
          <w:szCs w:val="20"/>
        </w:rPr>
        <w:t>onnes</w:t>
      </w:r>
      <w:proofErr w:type="spellEnd"/>
      <w:r w:rsidR="0045764A" w:rsidRPr="0045764A">
        <w:rPr>
          <w:rFonts w:ascii="Verdana" w:hAnsi="Verdana" w:cs="Arial"/>
          <w:sz w:val="20"/>
          <w:szCs w:val="20"/>
        </w:rPr>
        <w:t>/</w:t>
      </w:r>
      <w:r w:rsidR="00622924">
        <w:rPr>
          <w:rFonts w:ascii="Verdana" w:hAnsi="Verdana" w:cs="Arial"/>
          <w:sz w:val="20"/>
          <w:szCs w:val="20"/>
        </w:rPr>
        <w:t>year</w:t>
      </w:r>
      <w:r w:rsidR="0045764A">
        <w:rPr>
          <w:rFonts w:ascii="Verdana" w:hAnsi="Verdana" w:cs="Arial"/>
          <w:sz w:val="20"/>
          <w:szCs w:val="20"/>
        </w:rPr>
        <w:t>)</w:t>
      </w:r>
      <w:r w:rsidR="00A95181" w:rsidRPr="00A95181">
        <w:rPr>
          <w:rFonts w:ascii="Verdana" w:hAnsi="Verdana" w:cs="Arial"/>
          <w:sz w:val="20"/>
          <w:szCs w:val="20"/>
        </w:rPr>
        <w:t xml:space="preserve"> with the previous assessment</w:t>
      </w:r>
      <w:r w:rsidR="0045764A">
        <w:rPr>
          <w:rFonts w:ascii="Verdana" w:hAnsi="Verdana" w:cs="Arial"/>
          <w:sz w:val="20"/>
          <w:szCs w:val="20"/>
        </w:rPr>
        <w:t xml:space="preserve"> </w:t>
      </w:r>
      <w:r w:rsidR="00622924">
        <w:rPr>
          <w:rFonts w:ascii="Verdana" w:hAnsi="Verdana" w:cs="Arial"/>
          <w:sz w:val="20"/>
          <w:szCs w:val="20"/>
        </w:rPr>
        <w:t xml:space="preserve">(ca. </w:t>
      </w:r>
      <w:r w:rsidR="0045764A" w:rsidRPr="0045764A">
        <w:rPr>
          <w:rFonts w:ascii="Verdana" w:hAnsi="Verdana" w:cs="Arial"/>
          <w:sz w:val="20"/>
          <w:szCs w:val="20"/>
        </w:rPr>
        <w:t>3</w:t>
      </w:r>
      <w:r w:rsidR="00622924">
        <w:rPr>
          <w:rFonts w:ascii="Verdana" w:hAnsi="Verdana" w:cs="Arial"/>
          <w:sz w:val="20"/>
          <w:szCs w:val="20"/>
        </w:rPr>
        <w:t xml:space="preserve"> </w:t>
      </w:r>
      <w:r w:rsidR="0045764A" w:rsidRPr="0045764A">
        <w:rPr>
          <w:rFonts w:ascii="Verdana" w:hAnsi="Verdana" w:cs="Arial"/>
          <w:sz w:val="20"/>
          <w:szCs w:val="20"/>
        </w:rPr>
        <w:t xml:space="preserve">000 </w:t>
      </w:r>
      <w:proofErr w:type="spellStart"/>
      <w:r w:rsidR="0045764A" w:rsidRPr="0045764A">
        <w:rPr>
          <w:rFonts w:ascii="Verdana" w:hAnsi="Verdana" w:cs="Arial"/>
          <w:sz w:val="20"/>
          <w:szCs w:val="20"/>
        </w:rPr>
        <w:t>t</w:t>
      </w:r>
      <w:r w:rsidR="00622924">
        <w:rPr>
          <w:rFonts w:ascii="Verdana" w:hAnsi="Verdana" w:cs="Arial"/>
          <w:sz w:val="20"/>
          <w:szCs w:val="20"/>
        </w:rPr>
        <w:t>onnes</w:t>
      </w:r>
      <w:proofErr w:type="spellEnd"/>
      <w:r w:rsidR="0045764A" w:rsidRPr="0045764A">
        <w:rPr>
          <w:rFonts w:ascii="Verdana" w:hAnsi="Verdana" w:cs="Arial"/>
          <w:sz w:val="20"/>
          <w:szCs w:val="20"/>
        </w:rPr>
        <w:t>/</w:t>
      </w:r>
      <w:r w:rsidR="00622924">
        <w:rPr>
          <w:rFonts w:ascii="Verdana" w:hAnsi="Verdana" w:cs="Arial"/>
          <w:sz w:val="20"/>
          <w:szCs w:val="20"/>
        </w:rPr>
        <w:t>year</w:t>
      </w:r>
      <w:r w:rsidR="0045764A">
        <w:rPr>
          <w:rFonts w:ascii="Verdana" w:hAnsi="Verdana" w:cs="Arial"/>
          <w:sz w:val="20"/>
          <w:szCs w:val="20"/>
        </w:rPr>
        <w:t>).</w:t>
      </w:r>
    </w:p>
    <w:p w14:paraId="4F08D68D" w14:textId="77777777" w:rsidR="00A95181" w:rsidRDefault="00A95181" w:rsidP="00F65B6A">
      <w:pPr>
        <w:spacing w:after="0"/>
        <w:jc w:val="both"/>
        <w:rPr>
          <w:rFonts w:ascii="Verdana" w:hAnsi="Verdana" w:cs="Arial"/>
          <w:sz w:val="20"/>
          <w:szCs w:val="20"/>
        </w:rPr>
      </w:pPr>
    </w:p>
    <w:p w14:paraId="2FF552A9" w14:textId="3222E9BC" w:rsidR="009C2BBA" w:rsidRPr="00A95181" w:rsidRDefault="00AE6AFD" w:rsidP="00943C49">
      <w:pPr>
        <w:pStyle w:val="ListParagraph"/>
        <w:numPr>
          <w:ilvl w:val="0"/>
          <w:numId w:val="16"/>
        </w:numPr>
        <w:spacing w:after="0"/>
        <w:jc w:val="both"/>
        <w:rPr>
          <w:rFonts w:ascii="Verdana" w:hAnsi="Verdana" w:cs="Arial"/>
          <w:sz w:val="20"/>
          <w:szCs w:val="20"/>
        </w:rPr>
      </w:pPr>
      <w:r w:rsidRPr="00A95181">
        <w:rPr>
          <w:rFonts w:ascii="Verdana" w:hAnsi="Verdana" w:cs="Arial"/>
          <w:sz w:val="20"/>
          <w:szCs w:val="20"/>
        </w:rPr>
        <w:t xml:space="preserve">There is also significant uncertainty around the fate of </w:t>
      </w:r>
      <w:r w:rsidR="000578F2">
        <w:rPr>
          <w:rFonts w:ascii="Verdana" w:hAnsi="Verdana" w:cs="Arial"/>
          <w:sz w:val="20"/>
          <w:szCs w:val="20"/>
        </w:rPr>
        <w:t>MCCPs</w:t>
      </w:r>
      <w:r w:rsidR="00607BBD">
        <w:rPr>
          <w:rFonts w:ascii="Verdana" w:hAnsi="Verdana" w:cs="Arial"/>
          <w:sz w:val="20"/>
          <w:szCs w:val="20"/>
        </w:rPr>
        <w:t xml:space="preserve"> </w:t>
      </w:r>
      <w:r w:rsidRPr="00A95181">
        <w:rPr>
          <w:rFonts w:ascii="Verdana" w:hAnsi="Verdana" w:cs="Arial"/>
          <w:sz w:val="20"/>
          <w:szCs w:val="20"/>
        </w:rPr>
        <w:t xml:space="preserve">in </w:t>
      </w:r>
      <w:proofErr w:type="spellStart"/>
      <w:r w:rsidRPr="00A95181">
        <w:rPr>
          <w:rFonts w:ascii="Verdana" w:hAnsi="Verdana" w:cs="Arial"/>
          <w:b/>
          <w:sz w:val="20"/>
          <w:szCs w:val="20"/>
        </w:rPr>
        <w:t>sludges</w:t>
      </w:r>
      <w:proofErr w:type="spellEnd"/>
      <w:r w:rsidRPr="00A95181">
        <w:rPr>
          <w:rFonts w:ascii="Verdana" w:hAnsi="Verdana" w:cs="Arial"/>
          <w:sz w:val="20"/>
          <w:szCs w:val="20"/>
        </w:rPr>
        <w:t xml:space="preserve"> from </w:t>
      </w:r>
      <w:r w:rsidR="002523AF" w:rsidRPr="00A95181">
        <w:rPr>
          <w:rFonts w:ascii="Verdana" w:hAnsi="Verdana" w:cs="Arial"/>
          <w:sz w:val="20"/>
          <w:szCs w:val="20"/>
        </w:rPr>
        <w:t xml:space="preserve">wastewater </w:t>
      </w:r>
      <w:r w:rsidRPr="00A95181">
        <w:rPr>
          <w:rFonts w:ascii="Verdana" w:hAnsi="Verdana" w:cs="Arial"/>
          <w:sz w:val="20"/>
          <w:szCs w:val="20"/>
        </w:rPr>
        <w:t xml:space="preserve">treatment plants, and in industrial or consumer waste streams. </w:t>
      </w:r>
      <w:r w:rsidR="0095665C">
        <w:rPr>
          <w:rFonts w:ascii="Verdana" w:hAnsi="Verdana" w:cs="Arial"/>
          <w:sz w:val="20"/>
          <w:szCs w:val="20"/>
        </w:rPr>
        <w:t>T</w:t>
      </w:r>
      <w:r w:rsidR="0026741C" w:rsidRPr="00A95181">
        <w:rPr>
          <w:rFonts w:ascii="Verdana" w:hAnsi="Verdana" w:cs="Arial"/>
          <w:sz w:val="20"/>
          <w:szCs w:val="20"/>
        </w:rPr>
        <w:t xml:space="preserve">he CSR </w:t>
      </w:r>
      <w:r w:rsidR="00841352">
        <w:rPr>
          <w:rFonts w:ascii="Verdana" w:hAnsi="Verdana" w:cs="Arial"/>
          <w:sz w:val="20"/>
          <w:szCs w:val="20"/>
        </w:rPr>
        <w:t xml:space="preserve">claims </w:t>
      </w:r>
      <w:r w:rsidR="0026741C" w:rsidRPr="00A95181">
        <w:rPr>
          <w:rFonts w:ascii="Verdana" w:hAnsi="Verdana" w:cs="Arial"/>
          <w:sz w:val="20"/>
          <w:szCs w:val="20"/>
        </w:rPr>
        <w:t xml:space="preserve">that contaminated </w:t>
      </w:r>
      <w:proofErr w:type="spellStart"/>
      <w:r w:rsidR="0026741C" w:rsidRPr="00A95181">
        <w:rPr>
          <w:rFonts w:ascii="Verdana" w:hAnsi="Verdana" w:cs="Arial"/>
          <w:sz w:val="20"/>
          <w:szCs w:val="20"/>
        </w:rPr>
        <w:t>sludges</w:t>
      </w:r>
      <w:proofErr w:type="spellEnd"/>
      <w:r w:rsidR="0026741C" w:rsidRPr="00A95181">
        <w:rPr>
          <w:rFonts w:ascii="Verdana" w:hAnsi="Verdana" w:cs="Arial"/>
          <w:sz w:val="20"/>
          <w:szCs w:val="20"/>
        </w:rPr>
        <w:t xml:space="preserve"> from wastewater treatment are not recycled to agriculture</w:t>
      </w:r>
      <w:r w:rsidR="0087133E" w:rsidRPr="00A95181">
        <w:rPr>
          <w:rFonts w:ascii="Verdana" w:hAnsi="Verdana" w:cs="Arial"/>
          <w:sz w:val="20"/>
          <w:szCs w:val="20"/>
        </w:rPr>
        <w:t>, but t</w:t>
      </w:r>
      <w:r w:rsidR="0026741C" w:rsidRPr="00A95181">
        <w:rPr>
          <w:rFonts w:ascii="Verdana" w:hAnsi="Verdana" w:cs="Arial"/>
          <w:sz w:val="20"/>
          <w:szCs w:val="20"/>
        </w:rPr>
        <w:t xml:space="preserve">his claim has not been </w:t>
      </w:r>
      <w:r w:rsidR="0045764A">
        <w:rPr>
          <w:rFonts w:ascii="Verdana" w:hAnsi="Verdana" w:cs="Arial"/>
          <w:sz w:val="20"/>
          <w:szCs w:val="20"/>
        </w:rPr>
        <w:t>substantiated</w:t>
      </w:r>
      <w:r w:rsidR="00841352">
        <w:rPr>
          <w:rFonts w:ascii="Verdana" w:hAnsi="Verdana" w:cs="Arial"/>
          <w:sz w:val="20"/>
          <w:szCs w:val="20"/>
        </w:rPr>
        <w:t xml:space="preserve"> and does not seem very plausible</w:t>
      </w:r>
      <w:r w:rsidR="0026741C" w:rsidRPr="00A95181">
        <w:rPr>
          <w:rFonts w:ascii="Verdana" w:hAnsi="Verdana" w:cs="Arial"/>
          <w:sz w:val="20"/>
          <w:szCs w:val="20"/>
        </w:rPr>
        <w:t xml:space="preserve">. The fate of </w:t>
      </w:r>
      <w:r w:rsidR="000578F2">
        <w:rPr>
          <w:rFonts w:ascii="Verdana" w:hAnsi="Verdana" w:cs="Arial"/>
          <w:sz w:val="20"/>
          <w:szCs w:val="20"/>
        </w:rPr>
        <w:t>MCCPs</w:t>
      </w:r>
      <w:r w:rsidR="00607BBD">
        <w:rPr>
          <w:rFonts w:ascii="Verdana" w:hAnsi="Verdana" w:cs="Arial"/>
          <w:sz w:val="20"/>
          <w:szCs w:val="20"/>
        </w:rPr>
        <w:t xml:space="preserve"> </w:t>
      </w:r>
      <w:r w:rsidR="0026741C" w:rsidRPr="00A95181">
        <w:rPr>
          <w:rFonts w:ascii="Verdana" w:hAnsi="Verdana" w:cs="Arial"/>
          <w:sz w:val="20"/>
          <w:szCs w:val="20"/>
        </w:rPr>
        <w:t>in solid waste streams has not been evaluated in terms of recycling or disposal to landfill or incineration.</w:t>
      </w:r>
      <w:r w:rsidR="00257B8E" w:rsidRPr="00A95181">
        <w:rPr>
          <w:rFonts w:ascii="Verdana" w:hAnsi="Verdana" w:cs="Arial"/>
          <w:sz w:val="20"/>
          <w:szCs w:val="20"/>
        </w:rPr>
        <w:t xml:space="preserve"> For example, </w:t>
      </w:r>
      <w:r w:rsidR="001F334D">
        <w:rPr>
          <w:rFonts w:ascii="Verdana" w:hAnsi="Verdana" w:cs="Arial"/>
          <w:sz w:val="20"/>
          <w:szCs w:val="20"/>
        </w:rPr>
        <w:t>MCCPs have been detected in landfill leachates (</w:t>
      </w:r>
      <w:proofErr w:type="spellStart"/>
      <w:r w:rsidR="001F334D">
        <w:rPr>
          <w:rFonts w:ascii="Verdana" w:hAnsi="Verdana" w:cs="Arial"/>
          <w:sz w:val="20"/>
          <w:szCs w:val="20"/>
        </w:rPr>
        <w:t>Pilke</w:t>
      </w:r>
      <w:proofErr w:type="spellEnd"/>
      <w:r w:rsidR="001F334D">
        <w:rPr>
          <w:rFonts w:ascii="Verdana" w:hAnsi="Verdana" w:cs="Arial"/>
          <w:sz w:val="20"/>
          <w:szCs w:val="20"/>
        </w:rPr>
        <w:t xml:space="preserve"> et al., 2012). D</w:t>
      </w:r>
      <w:r w:rsidR="00257B8E" w:rsidRPr="00A95181">
        <w:rPr>
          <w:rFonts w:ascii="Verdana" w:hAnsi="Verdana" w:cs="Arial"/>
          <w:sz w:val="20"/>
          <w:szCs w:val="20"/>
        </w:rPr>
        <w:t xml:space="preserve">oes conventional incineration of refuse destroy </w:t>
      </w:r>
      <w:r w:rsidR="000578F2">
        <w:rPr>
          <w:rFonts w:ascii="Verdana" w:hAnsi="Verdana" w:cs="Arial"/>
          <w:sz w:val="20"/>
          <w:szCs w:val="20"/>
        </w:rPr>
        <w:t>MCCPs</w:t>
      </w:r>
      <w:r w:rsidR="00257B8E" w:rsidRPr="00A95181">
        <w:rPr>
          <w:rFonts w:ascii="Verdana" w:hAnsi="Verdana" w:cs="Arial"/>
          <w:sz w:val="20"/>
          <w:szCs w:val="20"/>
        </w:rPr>
        <w:t xml:space="preserve">? </w:t>
      </w:r>
      <w:r w:rsidR="00BB2682" w:rsidRPr="00A95181">
        <w:rPr>
          <w:rFonts w:ascii="Verdana" w:hAnsi="Verdana" w:cs="Arial"/>
          <w:sz w:val="20"/>
          <w:szCs w:val="20"/>
        </w:rPr>
        <w:t xml:space="preserve">Does recycling of PVC release </w:t>
      </w:r>
      <w:r w:rsidR="000578F2">
        <w:rPr>
          <w:rFonts w:ascii="Verdana" w:hAnsi="Verdana" w:cs="Arial"/>
          <w:sz w:val="20"/>
          <w:szCs w:val="20"/>
        </w:rPr>
        <w:t>MCCPs</w:t>
      </w:r>
      <w:r w:rsidR="00BB2682" w:rsidRPr="00A95181">
        <w:rPr>
          <w:rFonts w:ascii="Verdana" w:hAnsi="Verdana" w:cs="Arial"/>
          <w:sz w:val="20"/>
          <w:szCs w:val="20"/>
        </w:rPr>
        <w:t>?</w:t>
      </w:r>
    </w:p>
    <w:p w14:paraId="2F3BA111" w14:textId="77777777" w:rsidR="0026741C" w:rsidRPr="0026741C" w:rsidRDefault="0026741C" w:rsidP="0026741C">
      <w:pPr>
        <w:spacing w:after="0"/>
        <w:rPr>
          <w:rFonts w:ascii="Verdana" w:hAnsi="Verdana" w:cs="Arial"/>
          <w:sz w:val="20"/>
          <w:szCs w:val="20"/>
        </w:rPr>
      </w:pPr>
    </w:p>
    <w:p w14:paraId="0BFC2D86" w14:textId="06FBE5DF" w:rsidR="00B90190" w:rsidRPr="00A95181" w:rsidRDefault="00B90190" w:rsidP="00943C49">
      <w:pPr>
        <w:pStyle w:val="ListParagraph"/>
        <w:numPr>
          <w:ilvl w:val="0"/>
          <w:numId w:val="16"/>
        </w:numPr>
        <w:spacing w:after="0"/>
        <w:ind w:left="714" w:hanging="357"/>
        <w:jc w:val="both"/>
        <w:rPr>
          <w:rFonts w:ascii="Verdana" w:hAnsi="Verdana" w:cs="Arial"/>
          <w:sz w:val="20"/>
          <w:szCs w:val="20"/>
        </w:rPr>
      </w:pPr>
      <w:r w:rsidRPr="00A95181">
        <w:rPr>
          <w:rFonts w:ascii="Verdana" w:hAnsi="Verdana" w:cs="Arial"/>
          <w:sz w:val="20"/>
          <w:szCs w:val="20"/>
        </w:rPr>
        <w:t xml:space="preserve">The level of disaggregation of sector/use information may not be optimal for </w:t>
      </w:r>
      <w:r w:rsidR="002523AF" w:rsidRPr="00A95181">
        <w:rPr>
          <w:rFonts w:ascii="Verdana" w:hAnsi="Verdana" w:cs="Arial"/>
          <w:sz w:val="20"/>
          <w:szCs w:val="20"/>
        </w:rPr>
        <w:t xml:space="preserve">the </w:t>
      </w:r>
      <w:r w:rsidRPr="00A95181">
        <w:rPr>
          <w:rFonts w:ascii="Verdana" w:hAnsi="Verdana" w:cs="Arial"/>
          <w:sz w:val="20"/>
          <w:szCs w:val="20"/>
        </w:rPr>
        <w:t xml:space="preserve">effective </w:t>
      </w:r>
      <w:r w:rsidR="00AF3CB0" w:rsidRPr="00A95181">
        <w:rPr>
          <w:rFonts w:ascii="Verdana" w:hAnsi="Verdana" w:cs="Arial"/>
          <w:sz w:val="20"/>
          <w:szCs w:val="20"/>
        </w:rPr>
        <w:t>targeting</w:t>
      </w:r>
      <w:r w:rsidRPr="00A95181">
        <w:rPr>
          <w:rFonts w:ascii="Verdana" w:hAnsi="Verdana" w:cs="Arial"/>
          <w:sz w:val="20"/>
          <w:szCs w:val="20"/>
        </w:rPr>
        <w:t xml:space="preserve"> of regulatory actions. For example, should PVC formulation, </w:t>
      </w:r>
      <w:r w:rsidR="00622924" w:rsidRPr="00A95181">
        <w:rPr>
          <w:rFonts w:ascii="Verdana" w:hAnsi="Verdana" w:cs="Arial"/>
          <w:sz w:val="20"/>
          <w:szCs w:val="20"/>
        </w:rPr>
        <w:t>conver</w:t>
      </w:r>
      <w:r w:rsidR="00622924">
        <w:rPr>
          <w:rFonts w:ascii="Verdana" w:hAnsi="Verdana" w:cs="Arial"/>
          <w:sz w:val="20"/>
          <w:szCs w:val="20"/>
        </w:rPr>
        <w:t>s</w:t>
      </w:r>
      <w:r w:rsidR="00622924" w:rsidRPr="00A95181">
        <w:rPr>
          <w:rFonts w:ascii="Verdana" w:hAnsi="Verdana" w:cs="Arial"/>
          <w:sz w:val="20"/>
          <w:szCs w:val="20"/>
        </w:rPr>
        <w:t xml:space="preserve">ion </w:t>
      </w:r>
      <w:r w:rsidRPr="00A95181">
        <w:rPr>
          <w:rFonts w:ascii="Verdana" w:hAnsi="Verdana" w:cs="Arial"/>
          <w:sz w:val="20"/>
          <w:szCs w:val="20"/>
        </w:rPr>
        <w:t>and service life emissions be disaggregated</w:t>
      </w:r>
      <w:r w:rsidR="002523AF" w:rsidRPr="00A95181">
        <w:rPr>
          <w:rFonts w:ascii="Verdana" w:hAnsi="Verdana" w:cs="Arial"/>
          <w:sz w:val="20"/>
          <w:szCs w:val="20"/>
        </w:rPr>
        <w:t xml:space="preserve"> from those for rubber (and other polymers)</w:t>
      </w:r>
      <w:r w:rsidRPr="00A95181">
        <w:rPr>
          <w:rFonts w:ascii="Verdana" w:hAnsi="Verdana" w:cs="Arial"/>
          <w:sz w:val="20"/>
          <w:szCs w:val="20"/>
        </w:rPr>
        <w:t xml:space="preserve">? Should sealant emissions be </w:t>
      </w:r>
      <w:r w:rsidR="002523AF" w:rsidRPr="00A95181">
        <w:rPr>
          <w:rFonts w:ascii="Verdana" w:hAnsi="Verdana" w:cs="Arial"/>
          <w:sz w:val="20"/>
          <w:szCs w:val="20"/>
        </w:rPr>
        <w:t xml:space="preserve">similarly </w:t>
      </w:r>
      <w:r w:rsidRPr="00A95181">
        <w:rPr>
          <w:rFonts w:ascii="Verdana" w:hAnsi="Verdana" w:cs="Arial"/>
          <w:sz w:val="20"/>
          <w:szCs w:val="20"/>
        </w:rPr>
        <w:t>disaggregated</w:t>
      </w:r>
      <w:r w:rsidR="0026741C" w:rsidRPr="00A95181">
        <w:rPr>
          <w:rFonts w:ascii="Verdana" w:hAnsi="Verdana" w:cs="Arial"/>
          <w:sz w:val="20"/>
          <w:szCs w:val="20"/>
        </w:rPr>
        <w:t xml:space="preserve"> from those for adhesives</w:t>
      </w:r>
      <w:r w:rsidRPr="00A95181">
        <w:rPr>
          <w:rFonts w:ascii="Verdana" w:hAnsi="Verdana" w:cs="Arial"/>
          <w:sz w:val="20"/>
          <w:szCs w:val="20"/>
        </w:rPr>
        <w:t xml:space="preserve">?  </w:t>
      </w:r>
    </w:p>
    <w:p w14:paraId="1E9D3033" w14:textId="77777777" w:rsidR="00713A52" w:rsidRPr="00713A52" w:rsidRDefault="00713A52" w:rsidP="0045764A">
      <w:pPr>
        <w:pStyle w:val="ListParagraph"/>
        <w:spacing w:after="0"/>
        <w:ind w:left="714" w:hanging="357"/>
        <w:jc w:val="both"/>
        <w:rPr>
          <w:rFonts w:ascii="Verdana" w:hAnsi="Verdana" w:cs="Arial"/>
          <w:sz w:val="20"/>
          <w:szCs w:val="20"/>
        </w:rPr>
      </w:pPr>
    </w:p>
    <w:p w14:paraId="1BA83245" w14:textId="6B564854" w:rsidR="00713A52" w:rsidRPr="00A95181" w:rsidRDefault="00713A52" w:rsidP="00943C49">
      <w:pPr>
        <w:pStyle w:val="ListParagraph"/>
        <w:numPr>
          <w:ilvl w:val="0"/>
          <w:numId w:val="16"/>
        </w:numPr>
        <w:spacing w:after="0"/>
        <w:ind w:left="714" w:hanging="357"/>
        <w:jc w:val="both"/>
        <w:rPr>
          <w:rFonts w:ascii="Verdana" w:hAnsi="Verdana" w:cs="Arial"/>
          <w:sz w:val="20"/>
          <w:szCs w:val="20"/>
        </w:rPr>
      </w:pPr>
      <w:r w:rsidRPr="00A95181">
        <w:rPr>
          <w:rFonts w:ascii="Verdana" w:hAnsi="Verdana" w:cs="Arial"/>
          <w:sz w:val="20"/>
          <w:szCs w:val="20"/>
        </w:rPr>
        <w:t xml:space="preserve">The </w:t>
      </w:r>
      <w:r w:rsidR="00841352">
        <w:rPr>
          <w:rFonts w:ascii="Verdana" w:hAnsi="Verdana" w:cs="Arial"/>
          <w:sz w:val="20"/>
          <w:szCs w:val="20"/>
        </w:rPr>
        <w:t xml:space="preserve">total </w:t>
      </w:r>
      <w:r w:rsidRPr="00A95181">
        <w:rPr>
          <w:rFonts w:ascii="Verdana" w:hAnsi="Verdana" w:cs="Arial"/>
          <w:sz w:val="20"/>
          <w:szCs w:val="20"/>
        </w:rPr>
        <w:t xml:space="preserve">quantity of </w:t>
      </w:r>
      <w:r w:rsidR="000578F2">
        <w:rPr>
          <w:rFonts w:ascii="Verdana" w:hAnsi="Verdana" w:cs="Arial"/>
          <w:sz w:val="20"/>
          <w:szCs w:val="20"/>
        </w:rPr>
        <w:t>MCCPs</w:t>
      </w:r>
      <w:r w:rsidR="00607BBD">
        <w:rPr>
          <w:rFonts w:ascii="Verdana" w:hAnsi="Verdana" w:cs="Arial"/>
          <w:sz w:val="20"/>
          <w:szCs w:val="20"/>
        </w:rPr>
        <w:t xml:space="preserve"> </w:t>
      </w:r>
      <w:r w:rsidRPr="00A95181">
        <w:rPr>
          <w:rFonts w:ascii="Verdana" w:hAnsi="Verdana" w:cs="Arial"/>
          <w:sz w:val="20"/>
          <w:szCs w:val="20"/>
        </w:rPr>
        <w:t>introduced to the E</w:t>
      </w:r>
      <w:r w:rsidR="00622924">
        <w:rPr>
          <w:rFonts w:ascii="Verdana" w:hAnsi="Verdana" w:cs="Arial"/>
          <w:sz w:val="20"/>
          <w:szCs w:val="20"/>
        </w:rPr>
        <w:t>U</w:t>
      </w:r>
      <w:r w:rsidRPr="00A95181">
        <w:rPr>
          <w:rFonts w:ascii="Verdana" w:hAnsi="Verdana" w:cs="Arial"/>
          <w:sz w:val="20"/>
          <w:szCs w:val="20"/>
        </w:rPr>
        <w:t xml:space="preserve"> in imported articles is unknown</w:t>
      </w:r>
      <w:r w:rsidR="00841352">
        <w:rPr>
          <w:rFonts w:ascii="Verdana" w:hAnsi="Verdana" w:cs="Arial"/>
          <w:sz w:val="20"/>
          <w:szCs w:val="20"/>
        </w:rPr>
        <w:t xml:space="preserve">, though the KEMI </w:t>
      </w:r>
      <w:r w:rsidR="00AE372E">
        <w:rPr>
          <w:rFonts w:ascii="Verdana" w:hAnsi="Verdana" w:cs="Arial"/>
          <w:sz w:val="20"/>
          <w:szCs w:val="20"/>
        </w:rPr>
        <w:t xml:space="preserve">Annex II </w:t>
      </w:r>
      <w:r w:rsidR="00AF3CB0">
        <w:rPr>
          <w:rFonts w:ascii="Verdana" w:hAnsi="Verdana" w:cs="Arial"/>
          <w:sz w:val="20"/>
          <w:szCs w:val="20"/>
        </w:rPr>
        <w:t>dossier</w:t>
      </w:r>
      <w:r w:rsidR="00AE372E">
        <w:rPr>
          <w:rFonts w:ascii="Verdana" w:hAnsi="Verdana" w:cs="Arial"/>
          <w:sz w:val="20"/>
          <w:szCs w:val="20"/>
        </w:rPr>
        <w:t xml:space="preserve"> for RoHS indicates substantial importation in electrical cables</w:t>
      </w:r>
      <w:r w:rsidR="00F77520">
        <w:rPr>
          <w:rFonts w:ascii="Verdana" w:hAnsi="Verdana" w:cs="Arial"/>
          <w:sz w:val="20"/>
          <w:szCs w:val="20"/>
        </w:rPr>
        <w:t xml:space="preserve"> </w:t>
      </w:r>
      <w:r w:rsidR="00F77520" w:rsidRPr="009C4562">
        <w:rPr>
          <w:rFonts w:ascii="Verdana" w:hAnsi="Verdana"/>
          <w:sz w:val="20"/>
        </w:rPr>
        <w:t>(KEMI, 2018)</w:t>
      </w:r>
      <w:r w:rsidRPr="00A95181">
        <w:rPr>
          <w:rFonts w:ascii="Verdana" w:hAnsi="Verdana" w:cs="Arial"/>
          <w:sz w:val="20"/>
          <w:szCs w:val="20"/>
        </w:rPr>
        <w:t>. Th</w:t>
      </w:r>
      <w:r w:rsidR="00AE372E">
        <w:rPr>
          <w:rFonts w:ascii="Verdana" w:hAnsi="Verdana" w:cs="Arial"/>
          <w:sz w:val="20"/>
          <w:szCs w:val="20"/>
        </w:rPr>
        <w:t xml:space="preserve">e current level of uncertainty around </w:t>
      </w:r>
      <w:r w:rsidR="000578F2">
        <w:rPr>
          <w:rFonts w:ascii="Verdana" w:hAnsi="Verdana" w:cs="Arial"/>
          <w:sz w:val="20"/>
          <w:szCs w:val="20"/>
        </w:rPr>
        <w:t>MCCPs</w:t>
      </w:r>
      <w:r w:rsidR="00AE372E">
        <w:rPr>
          <w:rFonts w:ascii="Verdana" w:hAnsi="Verdana" w:cs="Arial"/>
          <w:sz w:val="20"/>
          <w:szCs w:val="20"/>
        </w:rPr>
        <w:t xml:space="preserve"> imports would need to be reduced as part of developing a proportionate restriction proposal, but does not undermine the case for restriction as opposed to authorisation</w:t>
      </w:r>
      <w:r w:rsidRPr="00A95181">
        <w:rPr>
          <w:rFonts w:ascii="Verdana" w:hAnsi="Verdana" w:cs="Arial"/>
          <w:sz w:val="20"/>
          <w:szCs w:val="20"/>
        </w:rPr>
        <w:t>.</w:t>
      </w:r>
    </w:p>
    <w:p w14:paraId="7A7D3090" w14:textId="77777777" w:rsidR="009A50EF" w:rsidRDefault="009A50EF" w:rsidP="009C2BBA">
      <w:pPr>
        <w:spacing w:after="0"/>
        <w:rPr>
          <w:rFonts w:ascii="Verdana" w:hAnsi="Verdana" w:cs="Arial"/>
          <w:b/>
          <w:sz w:val="20"/>
          <w:szCs w:val="20"/>
        </w:rPr>
      </w:pPr>
    </w:p>
    <w:p w14:paraId="39AFD48B" w14:textId="77777777" w:rsidR="00861D95" w:rsidRDefault="00861D95">
      <w:pPr>
        <w:spacing w:after="0"/>
        <w:rPr>
          <w:rFonts w:ascii="Verdana" w:hAnsi="Verdana" w:cs="Arial"/>
          <w:b/>
          <w:sz w:val="20"/>
          <w:szCs w:val="20"/>
        </w:rPr>
      </w:pPr>
      <w:r>
        <w:rPr>
          <w:rFonts w:ascii="Verdana" w:hAnsi="Verdana" w:cs="Arial"/>
          <w:b/>
          <w:sz w:val="20"/>
          <w:szCs w:val="20"/>
        </w:rPr>
        <w:br w:type="page"/>
      </w:r>
    </w:p>
    <w:p w14:paraId="7170E70C" w14:textId="617752C9" w:rsidR="009C2BBA" w:rsidRDefault="009C2BBA" w:rsidP="009C2BBA">
      <w:pPr>
        <w:spacing w:after="0"/>
        <w:rPr>
          <w:rFonts w:ascii="Verdana" w:hAnsi="Verdana" w:cs="Arial"/>
          <w:b/>
          <w:sz w:val="20"/>
          <w:szCs w:val="20"/>
        </w:rPr>
      </w:pPr>
      <w:r w:rsidRPr="009C2BBA">
        <w:rPr>
          <w:rFonts w:ascii="Verdana" w:hAnsi="Verdana" w:cs="Arial"/>
          <w:b/>
          <w:sz w:val="20"/>
          <w:szCs w:val="20"/>
        </w:rPr>
        <w:lastRenderedPageBreak/>
        <w:t>Use and availability of alternatives</w:t>
      </w:r>
    </w:p>
    <w:p w14:paraId="2E0CDA84" w14:textId="77777777" w:rsidR="00B20579" w:rsidRPr="009C2BBA" w:rsidRDefault="00B20579" w:rsidP="009C2BBA">
      <w:pPr>
        <w:spacing w:after="0"/>
        <w:rPr>
          <w:rFonts w:ascii="Verdana" w:hAnsi="Verdana" w:cs="Arial"/>
          <w:b/>
          <w:sz w:val="20"/>
          <w:szCs w:val="20"/>
        </w:rPr>
      </w:pPr>
    </w:p>
    <w:p w14:paraId="64689EBF" w14:textId="4B24A698" w:rsidR="009C2BBA" w:rsidRDefault="009C2BBA" w:rsidP="00943C49">
      <w:pPr>
        <w:numPr>
          <w:ilvl w:val="0"/>
          <w:numId w:val="12"/>
        </w:numPr>
        <w:spacing w:after="0"/>
        <w:ind w:left="714" w:hanging="357"/>
        <w:jc w:val="both"/>
        <w:rPr>
          <w:rFonts w:ascii="Verdana" w:hAnsi="Verdana" w:cs="Arial"/>
          <w:sz w:val="20"/>
          <w:szCs w:val="20"/>
        </w:rPr>
      </w:pPr>
      <w:r w:rsidRPr="009C2BBA">
        <w:rPr>
          <w:rFonts w:ascii="Verdana" w:hAnsi="Verdana" w:cs="Arial"/>
          <w:sz w:val="20"/>
          <w:szCs w:val="20"/>
        </w:rPr>
        <w:t xml:space="preserve">It is not clear </w:t>
      </w:r>
      <w:r w:rsidR="00F936E2">
        <w:rPr>
          <w:rFonts w:ascii="Verdana" w:hAnsi="Verdana" w:cs="Arial"/>
          <w:sz w:val="20"/>
          <w:szCs w:val="20"/>
        </w:rPr>
        <w:t xml:space="preserve">to what extent </w:t>
      </w:r>
      <w:r w:rsidR="00622924">
        <w:rPr>
          <w:rFonts w:ascii="Verdana" w:hAnsi="Verdana" w:cs="Arial"/>
          <w:sz w:val="20"/>
          <w:szCs w:val="20"/>
        </w:rPr>
        <w:t xml:space="preserve">the use of </w:t>
      </w:r>
      <w:r w:rsidR="000578F2">
        <w:rPr>
          <w:rFonts w:ascii="Verdana" w:hAnsi="Verdana" w:cs="Arial"/>
          <w:sz w:val="20"/>
          <w:szCs w:val="20"/>
        </w:rPr>
        <w:t>MCCPs</w:t>
      </w:r>
      <w:r w:rsidR="00607BBD">
        <w:rPr>
          <w:rFonts w:ascii="Verdana" w:hAnsi="Verdana" w:cs="Arial"/>
          <w:sz w:val="20"/>
          <w:szCs w:val="20"/>
        </w:rPr>
        <w:t xml:space="preserve"> </w:t>
      </w:r>
      <w:r w:rsidR="00622924">
        <w:rPr>
          <w:rFonts w:ascii="Verdana" w:hAnsi="Verdana" w:cs="Arial"/>
          <w:sz w:val="20"/>
          <w:szCs w:val="20"/>
        </w:rPr>
        <w:t>with a</w:t>
      </w:r>
      <w:r w:rsidRPr="009C2BBA">
        <w:rPr>
          <w:rFonts w:ascii="Verdana" w:hAnsi="Verdana" w:cs="Arial"/>
          <w:sz w:val="20"/>
          <w:szCs w:val="20"/>
        </w:rPr>
        <w:t xml:space="preserve"> </w:t>
      </w:r>
      <w:r w:rsidR="00F936E2">
        <w:rPr>
          <w:rFonts w:ascii="Verdana" w:hAnsi="Verdana" w:cs="Arial"/>
          <w:sz w:val="20"/>
          <w:szCs w:val="20"/>
        </w:rPr>
        <w:t xml:space="preserve">chlorine content </w:t>
      </w:r>
      <w:r w:rsidR="00C63452">
        <w:rPr>
          <w:rFonts w:ascii="Verdana" w:hAnsi="Verdana" w:cs="Arial"/>
          <w:sz w:val="20"/>
          <w:szCs w:val="20"/>
        </w:rPr>
        <w:t>≤4</w:t>
      </w:r>
      <w:r w:rsidR="00F936E2">
        <w:rPr>
          <w:rFonts w:ascii="Verdana" w:hAnsi="Verdana" w:cs="Arial"/>
          <w:sz w:val="20"/>
          <w:szCs w:val="20"/>
        </w:rPr>
        <w:t>5</w:t>
      </w:r>
      <w:r w:rsidR="009A50EF">
        <w:rPr>
          <w:rFonts w:ascii="Verdana" w:hAnsi="Verdana" w:cs="Arial"/>
          <w:sz w:val="20"/>
          <w:szCs w:val="20"/>
        </w:rPr>
        <w:t>%</w:t>
      </w:r>
      <w:r w:rsidRPr="009C2BBA">
        <w:rPr>
          <w:rFonts w:ascii="Verdana" w:hAnsi="Verdana" w:cs="Arial"/>
          <w:sz w:val="20"/>
          <w:szCs w:val="20"/>
        </w:rPr>
        <w:t xml:space="preserve"> </w:t>
      </w:r>
      <w:r w:rsidR="00D85444">
        <w:rPr>
          <w:rFonts w:ascii="Verdana" w:hAnsi="Verdana" w:cs="Arial"/>
          <w:sz w:val="20"/>
          <w:szCs w:val="20"/>
        </w:rPr>
        <w:t xml:space="preserve">by weight </w:t>
      </w:r>
      <w:r w:rsidR="00622924">
        <w:rPr>
          <w:rFonts w:ascii="Verdana" w:hAnsi="Verdana" w:cs="Arial"/>
          <w:sz w:val="20"/>
          <w:szCs w:val="20"/>
        </w:rPr>
        <w:t>is technically feasible in all applications. Similarly</w:t>
      </w:r>
      <w:r w:rsidR="00F936E2">
        <w:rPr>
          <w:rFonts w:ascii="Verdana" w:hAnsi="Verdana" w:cs="Arial"/>
          <w:sz w:val="20"/>
          <w:szCs w:val="20"/>
        </w:rPr>
        <w:t xml:space="preserve">, </w:t>
      </w:r>
      <w:r w:rsidR="00622924">
        <w:rPr>
          <w:rFonts w:ascii="Verdana" w:hAnsi="Verdana" w:cs="Arial"/>
          <w:sz w:val="20"/>
          <w:szCs w:val="20"/>
        </w:rPr>
        <w:t xml:space="preserve">the ability of industry to modify the feedstock to </w:t>
      </w:r>
      <w:r w:rsidR="00D85444">
        <w:rPr>
          <w:rFonts w:ascii="Verdana" w:hAnsi="Verdana" w:cs="Arial"/>
          <w:sz w:val="20"/>
          <w:szCs w:val="20"/>
        </w:rPr>
        <w:t>change the chain length distribution</w:t>
      </w:r>
      <w:r w:rsidR="00622924">
        <w:rPr>
          <w:rFonts w:ascii="Verdana" w:hAnsi="Verdana" w:cs="Arial"/>
          <w:sz w:val="20"/>
          <w:szCs w:val="20"/>
        </w:rPr>
        <w:t xml:space="preserve">, the costs involved, and </w:t>
      </w:r>
      <w:r w:rsidR="00622924" w:rsidRPr="009C2BBA">
        <w:rPr>
          <w:rFonts w:ascii="Verdana" w:hAnsi="Verdana" w:cs="Arial"/>
          <w:sz w:val="20"/>
          <w:szCs w:val="20"/>
        </w:rPr>
        <w:t>technical performance</w:t>
      </w:r>
      <w:r w:rsidR="00622924">
        <w:rPr>
          <w:rFonts w:ascii="Verdana" w:hAnsi="Verdana" w:cs="Arial"/>
          <w:sz w:val="20"/>
          <w:szCs w:val="20"/>
        </w:rPr>
        <w:t xml:space="preserve"> of such a product are all unknown.</w:t>
      </w:r>
      <w:r w:rsidRPr="009C2BBA">
        <w:rPr>
          <w:rFonts w:ascii="Verdana" w:hAnsi="Verdana" w:cs="Arial"/>
          <w:sz w:val="20"/>
          <w:szCs w:val="20"/>
        </w:rPr>
        <w:t xml:space="preserve"> </w:t>
      </w:r>
    </w:p>
    <w:p w14:paraId="73922F2D" w14:textId="77777777" w:rsidR="0045764A" w:rsidRPr="009C2BBA" w:rsidRDefault="0045764A" w:rsidP="0045764A">
      <w:pPr>
        <w:spacing w:after="0"/>
        <w:ind w:left="714" w:hanging="357"/>
        <w:jc w:val="both"/>
        <w:rPr>
          <w:rFonts w:ascii="Verdana" w:hAnsi="Verdana" w:cs="Arial"/>
          <w:sz w:val="20"/>
          <w:szCs w:val="20"/>
        </w:rPr>
      </w:pPr>
    </w:p>
    <w:p w14:paraId="1C9F03B8" w14:textId="037642F4" w:rsidR="009C2BBA" w:rsidRPr="009C2BBA" w:rsidRDefault="009C2BBA" w:rsidP="00943C49">
      <w:pPr>
        <w:numPr>
          <w:ilvl w:val="0"/>
          <w:numId w:val="12"/>
        </w:numPr>
        <w:spacing w:after="0"/>
        <w:ind w:left="714" w:hanging="357"/>
        <w:jc w:val="both"/>
        <w:rPr>
          <w:rFonts w:ascii="Verdana" w:hAnsi="Verdana" w:cs="Arial"/>
          <w:sz w:val="20"/>
          <w:szCs w:val="20"/>
        </w:rPr>
      </w:pPr>
      <w:r w:rsidRPr="009C2BBA">
        <w:rPr>
          <w:rFonts w:ascii="Verdana" w:hAnsi="Verdana" w:cs="Arial"/>
          <w:sz w:val="20"/>
          <w:szCs w:val="20"/>
        </w:rPr>
        <w:t xml:space="preserve">The extent to which </w:t>
      </w:r>
      <w:r w:rsidR="000578F2">
        <w:rPr>
          <w:rFonts w:ascii="Verdana" w:hAnsi="Verdana" w:cs="Arial"/>
          <w:sz w:val="20"/>
          <w:szCs w:val="20"/>
        </w:rPr>
        <w:t>MCCPs</w:t>
      </w:r>
      <w:r w:rsidR="00607BBD">
        <w:rPr>
          <w:rFonts w:ascii="Verdana" w:hAnsi="Verdana" w:cs="Arial"/>
          <w:sz w:val="20"/>
          <w:szCs w:val="20"/>
        </w:rPr>
        <w:t xml:space="preserve"> </w:t>
      </w:r>
      <w:r w:rsidRPr="009C2BBA">
        <w:rPr>
          <w:rFonts w:ascii="Verdana" w:hAnsi="Verdana" w:cs="Arial"/>
          <w:sz w:val="20"/>
          <w:szCs w:val="20"/>
        </w:rPr>
        <w:t xml:space="preserve">could be substituted with less hazardous </w:t>
      </w:r>
      <w:r w:rsidR="00F936E2">
        <w:rPr>
          <w:rFonts w:ascii="Verdana" w:hAnsi="Verdana" w:cs="Arial"/>
          <w:sz w:val="20"/>
          <w:szCs w:val="20"/>
        </w:rPr>
        <w:t>chemicals or end uses could be served by other techniques/products</w:t>
      </w:r>
      <w:r w:rsidRPr="009C2BBA">
        <w:rPr>
          <w:rFonts w:ascii="Verdana" w:hAnsi="Verdana" w:cs="Arial"/>
          <w:sz w:val="20"/>
          <w:szCs w:val="20"/>
        </w:rPr>
        <w:t xml:space="preserve"> is not clear. This is </w:t>
      </w:r>
      <w:r w:rsidR="00F936E2">
        <w:rPr>
          <w:rFonts w:ascii="Verdana" w:hAnsi="Verdana" w:cs="Arial"/>
          <w:sz w:val="20"/>
          <w:szCs w:val="20"/>
        </w:rPr>
        <w:t xml:space="preserve">a need for more comprehensive </w:t>
      </w:r>
      <w:r w:rsidRPr="009C2BBA">
        <w:rPr>
          <w:rFonts w:ascii="Verdana" w:hAnsi="Verdana" w:cs="Arial"/>
          <w:sz w:val="20"/>
          <w:szCs w:val="20"/>
        </w:rPr>
        <w:t>information on which substances may be suitable</w:t>
      </w:r>
      <w:r w:rsidR="00F936E2">
        <w:rPr>
          <w:rFonts w:ascii="Verdana" w:hAnsi="Verdana" w:cs="Arial"/>
          <w:sz w:val="20"/>
          <w:szCs w:val="20"/>
        </w:rPr>
        <w:t xml:space="preserve">, </w:t>
      </w:r>
      <w:r w:rsidRPr="009C2BBA">
        <w:rPr>
          <w:rFonts w:ascii="Verdana" w:hAnsi="Verdana" w:cs="Arial"/>
          <w:sz w:val="20"/>
          <w:szCs w:val="20"/>
        </w:rPr>
        <w:t>the hazardous properties of the alternatives</w:t>
      </w:r>
      <w:r w:rsidR="00F936E2">
        <w:rPr>
          <w:rFonts w:ascii="Verdana" w:hAnsi="Verdana" w:cs="Arial"/>
          <w:sz w:val="20"/>
          <w:szCs w:val="20"/>
        </w:rPr>
        <w:t>, and on alternative techniques/products.</w:t>
      </w:r>
      <w:r w:rsidRPr="009C2BBA">
        <w:rPr>
          <w:rFonts w:ascii="Verdana" w:hAnsi="Verdana" w:cs="Arial"/>
          <w:sz w:val="20"/>
          <w:szCs w:val="20"/>
        </w:rPr>
        <w:t xml:space="preserve"> </w:t>
      </w:r>
    </w:p>
    <w:p w14:paraId="06798589" w14:textId="77777777" w:rsidR="009C2BBA" w:rsidRPr="009C2BBA" w:rsidRDefault="009C2BBA" w:rsidP="009C2BBA">
      <w:pPr>
        <w:pStyle w:val="BodyText"/>
      </w:pPr>
    </w:p>
    <w:p w14:paraId="145E318F" w14:textId="55FE5F66" w:rsidR="00533DBE" w:rsidRPr="00533DBE" w:rsidRDefault="00D2081D" w:rsidP="00533DBE">
      <w:pPr>
        <w:pStyle w:val="Heading3"/>
      </w:pPr>
      <w:r>
        <w:t>R</w:t>
      </w:r>
      <w:r w:rsidR="00EB5C5E">
        <w:t>isk management work</w:t>
      </w:r>
      <w:r w:rsidR="00533DBE">
        <w:t xml:space="preserve"> </w:t>
      </w:r>
      <w:r>
        <w:t>by other states</w:t>
      </w:r>
      <w:r w:rsidR="00533DBE">
        <w:t xml:space="preserve"> </w:t>
      </w:r>
    </w:p>
    <w:p w14:paraId="1CE81DF8" w14:textId="6A6D64BF" w:rsidR="002128BF" w:rsidRPr="0095665C" w:rsidRDefault="002128BF">
      <w:pPr>
        <w:spacing w:after="0"/>
        <w:rPr>
          <w:rFonts w:ascii="Verdana" w:hAnsi="Verdana"/>
          <w:b/>
          <w:sz w:val="20"/>
          <w:szCs w:val="20"/>
        </w:rPr>
      </w:pPr>
      <w:r w:rsidRPr="0095665C">
        <w:rPr>
          <w:rFonts w:ascii="Verdana" w:hAnsi="Verdana"/>
          <w:b/>
          <w:sz w:val="20"/>
          <w:szCs w:val="20"/>
        </w:rPr>
        <w:t>Australia</w:t>
      </w:r>
    </w:p>
    <w:p w14:paraId="7E17C8F9" w14:textId="3B09271A" w:rsidR="002128BF" w:rsidRPr="0095665C" w:rsidRDefault="002128BF" w:rsidP="009A50EF">
      <w:pPr>
        <w:spacing w:after="0"/>
        <w:jc w:val="both"/>
        <w:rPr>
          <w:rFonts w:ascii="Verdana" w:hAnsi="Verdana"/>
          <w:sz w:val="20"/>
          <w:szCs w:val="20"/>
        </w:rPr>
      </w:pPr>
      <w:r w:rsidRPr="00576115">
        <w:rPr>
          <w:rFonts w:ascii="Verdana" w:hAnsi="Verdana"/>
          <w:sz w:val="20"/>
          <w:szCs w:val="20"/>
        </w:rPr>
        <w:t xml:space="preserve">The </w:t>
      </w:r>
      <w:r w:rsidR="0095665C">
        <w:rPr>
          <w:rFonts w:ascii="Verdana" w:hAnsi="Verdana"/>
          <w:sz w:val="20"/>
          <w:szCs w:val="20"/>
        </w:rPr>
        <w:t xml:space="preserve">Australian </w:t>
      </w:r>
      <w:r w:rsidRPr="00576115">
        <w:rPr>
          <w:rFonts w:ascii="Verdana" w:hAnsi="Verdana"/>
          <w:sz w:val="20"/>
          <w:szCs w:val="20"/>
        </w:rPr>
        <w:t xml:space="preserve">Department of Health published </w:t>
      </w:r>
      <w:r w:rsidRPr="0095665C">
        <w:rPr>
          <w:rFonts w:ascii="Verdana" w:hAnsi="Verdana"/>
          <w:sz w:val="20"/>
          <w:szCs w:val="20"/>
        </w:rPr>
        <w:t>a</w:t>
      </w:r>
      <w:r w:rsidR="00971346" w:rsidRPr="0095665C">
        <w:rPr>
          <w:rFonts w:ascii="Verdana" w:hAnsi="Verdana"/>
          <w:sz w:val="20"/>
          <w:szCs w:val="20"/>
        </w:rPr>
        <w:t xml:space="preserve"> hazard</w:t>
      </w:r>
      <w:r w:rsidRPr="0095665C">
        <w:rPr>
          <w:rFonts w:ascii="Verdana" w:hAnsi="Verdana"/>
          <w:sz w:val="20"/>
          <w:szCs w:val="20"/>
        </w:rPr>
        <w:t xml:space="preserve"> assessment of </w:t>
      </w:r>
      <w:r w:rsidR="000578F2">
        <w:rPr>
          <w:rFonts w:ascii="Verdana" w:hAnsi="Verdana"/>
          <w:sz w:val="20"/>
          <w:szCs w:val="20"/>
        </w:rPr>
        <w:t>MCCPs</w:t>
      </w:r>
      <w:r w:rsidRPr="0095665C">
        <w:rPr>
          <w:rFonts w:ascii="Verdana" w:hAnsi="Verdana"/>
          <w:sz w:val="20"/>
          <w:szCs w:val="20"/>
        </w:rPr>
        <w:t xml:space="preserve"> </w:t>
      </w:r>
      <w:r w:rsidR="0095665C" w:rsidRPr="00576115">
        <w:rPr>
          <w:rFonts w:ascii="Verdana" w:hAnsi="Verdana"/>
          <w:sz w:val="20"/>
          <w:szCs w:val="20"/>
        </w:rPr>
        <w:t>on their website</w:t>
      </w:r>
      <w:r w:rsidR="0095665C" w:rsidRPr="00576115">
        <w:rPr>
          <w:rStyle w:val="FootnoteReference"/>
          <w:rFonts w:ascii="Verdana" w:hAnsi="Verdana"/>
          <w:sz w:val="20"/>
          <w:szCs w:val="20"/>
        </w:rPr>
        <w:footnoteReference w:id="6"/>
      </w:r>
      <w:r w:rsidR="0095665C" w:rsidRPr="0095665C">
        <w:rPr>
          <w:rFonts w:ascii="Verdana" w:hAnsi="Verdana"/>
          <w:sz w:val="20"/>
          <w:szCs w:val="20"/>
        </w:rPr>
        <w:t xml:space="preserve"> </w:t>
      </w:r>
      <w:r w:rsidRPr="0095665C">
        <w:rPr>
          <w:rFonts w:ascii="Verdana" w:hAnsi="Verdana"/>
          <w:sz w:val="20"/>
          <w:szCs w:val="20"/>
        </w:rPr>
        <w:t xml:space="preserve">in June 2019. </w:t>
      </w:r>
      <w:r w:rsidR="00971346" w:rsidRPr="0095665C">
        <w:rPr>
          <w:rFonts w:ascii="Verdana" w:hAnsi="Verdana"/>
          <w:sz w:val="20"/>
          <w:szCs w:val="20"/>
        </w:rPr>
        <w:t>The re</w:t>
      </w:r>
      <w:r w:rsidR="00DC2253" w:rsidRPr="0095665C">
        <w:rPr>
          <w:rFonts w:ascii="Verdana" w:hAnsi="Verdana"/>
          <w:sz w:val="20"/>
          <w:szCs w:val="20"/>
        </w:rPr>
        <w:t>view</w:t>
      </w:r>
      <w:r w:rsidR="00971346" w:rsidRPr="0095665C">
        <w:rPr>
          <w:rFonts w:ascii="Verdana" w:hAnsi="Verdana"/>
          <w:sz w:val="20"/>
          <w:szCs w:val="20"/>
        </w:rPr>
        <w:t xml:space="preserve"> concluded that </w:t>
      </w:r>
      <w:r w:rsidR="000578F2">
        <w:rPr>
          <w:rFonts w:ascii="Verdana" w:hAnsi="Verdana"/>
          <w:sz w:val="20"/>
          <w:szCs w:val="20"/>
        </w:rPr>
        <w:t>MCCPs</w:t>
      </w:r>
      <w:r w:rsidR="00971346" w:rsidRPr="0095665C">
        <w:rPr>
          <w:rFonts w:ascii="Verdana" w:hAnsi="Verdana"/>
          <w:sz w:val="20"/>
          <w:szCs w:val="20"/>
        </w:rPr>
        <w:t xml:space="preserve"> meets the </w:t>
      </w:r>
      <w:r w:rsidR="00DC2253" w:rsidRPr="0095665C">
        <w:rPr>
          <w:rFonts w:ascii="Verdana" w:hAnsi="Verdana"/>
          <w:sz w:val="20"/>
          <w:szCs w:val="20"/>
        </w:rPr>
        <w:t>domestic</w:t>
      </w:r>
      <w:r w:rsidR="00971346" w:rsidRPr="0095665C">
        <w:rPr>
          <w:rFonts w:ascii="Verdana" w:hAnsi="Verdana"/>
          <w:sz w:val="20"/>
          <w:szCs w:val="20"/>
        </w:rPr>
        <w:t xml:space="preserve"> PBT criteria, and that some congener groups may meet the Annex D screening criteria for Persistent Organic Pollutants under the Stockholm Convention. The </w:t>
      </w:r>
      <w:r w:rsidR="00DC2253" w:rsidRPr="0095665C">
        <w:rPr>
          <w:rFonts w:ascii="Verdana" w:hAnsi="Verdana"/>
          <w:sz w:val="20"/>
          <w:szCs w:val="20"/>
        </w:rPr>
        <w:t>assessment</w:t>
      </w:r>
      <w:r w:rsidR="00971346" w:rsidRPr="0095665C">
        <w:rPr>
          <w:rFonts w:ascii="Verdana" w:hAnsi="Verdana"/>
          <w:sz w:val="20"/>
          <w:szCs w:val="20"/>
        </w:rPr>
        <w:t xml:space="preserve"> recommended further work to assess environmental exposure and the </w:t>
      </w:r>
      <w:r w:rsidR="00DC2253" w:rsidRPr="0095665C">
        <w:rPr>
          <w:rFonts w:ascii="Verdana" w:hAnsi="Verdana"/>
          <w:sz w:val="20"/>
          <w:szCs w:val="20"/>
        </w:rPr>
        <w:t>case for</w:t>
      </w:r>
      <w:r w:rsidR="00971346" w:rsidRPr="0095665C">
        <w:rPr>
          <w:rFonts w:ascii="Verdana" w:hAnsi="Verdana"/>
          <w:sz w:val="20"/>
          <w:szCs w:val="20"/>
        </w:rPr>
        <w:t xml:space="preserve"> POPs </w:t>
      </w:r>
      <w:r w:rsidR="00DC2253" w:rsidRPr="0095665C">
        <w:rPr>
          <w:rFonts w:ascii="Verdana" w:hAnsi="Verdana"/>
          <w:sz w:val="20"/>
          <w:szCs w:val="20"/>
        </w:rPr>
        <w:t>nomination</w:t>
      </w:r>
      <w:r w:rsidR="00971346" w:rsidRPr="0095665C">
        <w:rPr>
          <w:rFonts w:ascii="Verdana" w:hAnsi="Verdana"/>
          <w:sz w:val="20"/>
          <w:szCs w:val="20"/>
        </w:rPr>
        <w:t xml:space="preserve">, including </w:t>
      </w:r>
      <w:r w:rsidR="00DC2253" w:rsidRPr="0095665C">
        <w:rPr>
          <w:rFonts w:ascii="Verdana" w:hAnsi="Verdana"/>
          <w:sz w:val="20"/>
          <w:szCs w:val="20"/>
        </w:rPr>
        <w:t xml:space="preserve">adding </w:t>
      </w:r>
      <w:r w:rsidR="000578F2">
        <w:rPr>
          <w:rFonts w:ascii="Verdana" w:hAnsi="Verdana"/>
          <w:sz w:val="20"/>
          <w:szCs w:val="20"/>
        </w:rPr>
        <w:t>MCCPs</w:t>
      </w:r>
      <w:r w:rsidR="00DC2253" w:rsidRPr="0095665C">
        <w:rPr>
          <w:rFonts w:ascii="Verdana" w:hAnsi="Verdana"/>
          <w:sz w:val="20"/>
          <w:szCs w:val="20"/>
        </w:rPr>
        <w:t xml:space="preserve"> to </w:t>
      </w:r>
      <w:r w:rsidR="00971346" w:rsidRPr="0095665C">
        <w:rPr>
          <w:rFonts w:ascii="Verdana" w:hAnsi="Verdana"/>
          <w:sz w:val="20"/>
          <w:szCs w:val="20"/>
        </w:rPr>
        <w:t>environmental monitoring</w:t>
      </w:r>
      <w:r w:rsidR="00DC2253" w:rsidRPr="0095665C">
        <w:rPr>
          <w:rFonts w:ascii="Verdana" w:hAnsi="Verdana"/>
          <w:sz w:val="20"/>
          <w:szCs w:val="20"/>
        </w:rPr>
        <w:t xml:space="preserve"> </w:t>
      </w:r>
      <w:proofErr w:type="spellStart"/>
      <w:r w:rsidR="00DC2253" w:rsidRPr="0095665C">
        <w:rPr>
          <w:rFonts w:ascii="Verdana" w:hAnsi="Verdana"/>
          <w:sz w:val="20"/>
          <w:szCs w:val="20"/>
        </w:rPr>
        <w:t>programmes</w:t>
      </w:r>
      <w:proofErr w:type="spellEnd"/>
      <w:r w:rsidR="00971346" w:rsidRPr="0095665C">
        <w:rPr>
          <w:rFonts w:ascii="Verdana" w:hAnsi="Verdana"/>
          <w:sz w:val="20"/>
          <w:szCs w:val="20"/>
        </w:rPr>
        <w:t>.</w:t>
      </w:r>
    </w:p>
    <w:p w14:paraId="23212E9F" w14:textId="77777777" w:rsidR="002128BF" w:rsidRPr="002128BF" w:rsidRDefault="002128BF" w:rsidP="009A50EF">
      <w:pPr>
        <w:spacing w:after="0"/>
        <w:jc w:val="both"/>
        <w:rPr>
          <w:rFonts w:ascii="Verdana" w:hAnsi="Verdana"/>
        </w:rPr>
      </w:pPr>
    </w:p>
    <w:p w14:paraId="60E84947" w14:textId="77777777" w:rsidR="002128BF" w:rsidRPr="00576115" w:rsidRDefault="002128BF" w:rsidP="009A50EF">
      <w:pPr>
        <w:spacing w:after="0"/>
        <w:jc w:val="both"/>
        <w:rPr>
          <w:rFonts w:ascii="Verdana" w:hAnsi="Verdana"/>
          <w:b/>
          <w:sz w:val="20"/>
          <w:szCs w:val="20"/>
        </w:rPr>
      </w:pPr>
      <w:r w:rsidRPr="00576115">
        <w:rPr>
          <w:rFonts w:ascii="Verdana" w:hAnsi="Verdana"/>
          <w:b/>
          <w:sz w:val="20"/>
          <w:szCs w:val="20"/>
        </w:rPr>
        <w:t>Canada</w:t>
      </w:r>
    </w:p>
    <w:p w14:paraId="03305715" w14:textId="1CCB7B37" w:rsidR="00D429F3" w:rsidRPr="00576115" w:rsidRDefault="00DC2253" w:rsidP="009A50EF">
      <w:pPr>
        <w:spacing w:after="0"/>
        <w:jc w:val="both"/>
        <w:rPr>
          <w:rFonts w:ascii="Verdana" w:hAnsi="Verdana"/>
          <w:sz w:val="20"/>
          <w:szCs w:val="20"/>
        </w:rPr>
      </w:pPr>
      <w:r w:rsidRPr="00576115">
        <w:rPr>
          <w:rFonts w:ascii="Verdana" w:hAnsi="Verdana"/>
          <w:sz w:val="20"/>
          <w:szCs w:val="20"/>
        </w:rPr>
        <w:t>Environment and Climate Change Canada reviewed the chlorinated paraffins</w:t>
      </w:r>
      <w:r w:rsidR="00D85444">
        <w:rPr>
          <w:rFonts w:ascii="Verdana" w:hAnsi="Verdana"/>
          <w:sz w:val="20"/>
          <w:szCs w:val="20"/>
        </w:rPr>
        <w:t xml:space="preserve"> group</w:t>
      </w:r>
      <w:r w:rsidRPr="00576115">
        <w:rPr>
          <w:rFonts w:ascii="Verdana" w:hAnsi="Verdana"/>
          <w:sz w:val="20"/>
          <w:szCs w:val="20"/>
        </w:rPr>
        <w:t xml:space="preserve"> in 2008</w:t>
      </w:r>
      <w:r w:rsidR="00D429F3" w:rsidRPr="00576115">
        <w:rPr>
          <w:rStyle w:val="FootnoteReference"/>
          <w:rFonts w:ascii="Verdana" w:hAnsi="Verdana"/>
          <w:sz w:val="20"/>
          <w:szCs w:val="20"/>
        </w:rPr>
        <w:footnoteReference w:id="7"/>
      </w:r>
      <w:r w:rsidRPr="00576115">
        <w:rPr>
          <w:rFonts w:ascii="Verdana" w:hAnsi="Verdana"/>
          <w:sz w:val="20"/>
          <w:szCs w:val="20"/>
        </w:rPr>
        <w:t>.</w:t>
      </w:r>
      <w:r w:rsidR="00D429F3" w:rsidRPr="00576115">
        <w:rPr>
          <w:rFonts w:ascii="Verdana" w:hAnsi="Verdana"/>
          <w:sz w:val="20"/>
          <w:szCs w:val="20"/>
        </w:rPr>
        <w:t xml:space="preserve"> </w:t>
      </w:r>
      <w:r w:rsidR="009A50EF">
        <w:rPr>
          <w:rFonts w:ascii="Verdana" w:hAnsi="Verdana"/>
          <w:sz w:val="20"/>
          <w:szCs w:val="20"/>
        </w:rPr>
        <w:t>T</w:t>
      </w:r>
      <w:r w:rsidR="009A50EF" w:rsidRPr="00576115">
        <w:rPr>
          <w:rFonts w:ascii="Verdana" w:hAnsi="Verdana"/>
          <w:sz w:val="20"/>
          <w:szCs w:val="20"/>
        </w:rPr>
        <w:t xml:space="preserve">he review concluded that </w:t>
      </w:r>
      <w:r w:rsidR="009A50EF">
        <w:rPr>
          <w:rFonts w:ascii="Verdana" w:hAnsi="Verdana"/>
          <w:sz w:val="20"/>
          <w:szCs w:val="20"/>
        </w:rPr>
        <w:t>MCCPs</w:t>
      </w:r>
      <w:r w:rsidR="009A50EF" w:rsidRPr="00576115">
        <w:rPr>
          <w:rFonts w:ascii="Verdana" w:hAnsi="Verdana"/>
          <w:sz w:val="20"/>
          <w:szCs w:val="20"/>
        </w:rPr>
        <w:t xml:space="preserve"> is "toxic" as defined in paragraphs 64 (a) and (c) of the Canadian Environmental Protection Act, 1999</w:t>
      </w:r>
      <w:r w:rsidR="009A50EF">
        <w:rPr>
          <w:rFonts w:ascii="Verdana" w:hAnsi="Verdana"/>
          <w:sz w:val="20"/>
          <w:szCs w:val="20"/>
        </w:rPr>
        <w:t>, o</w:t>
      </w:r>
      <w:r w:rsidR="00D429F3" w:rsidRPr="00576115">
        <w:rPr>
          <w:rFonts w:ascii="Verdana" w:hAnsi="Verdana"/>
          <w:sz w:val="20"/>
          <w:szCs w:val="20"/>
        </w:rPr>
        <w:t xml:space="preserve">n the basis that </w:t>
      </w:r>
      <w:r w:rsidR="000578F2">
        <w:rPr>
          <w:rFonts w:ascii="Verdana" w:hAnsi="Verdana"/>
          <w:sz w:val="20"/>
          <w:szCs w:val="20"/>
        </w:rPr>
        <w:t>MCCPs</w:t>
      </w:r>
      <w:r w:rsidR="00D429F3" w:rsidRPr="00576115">
        <w:rPr>
          <w:rFonts w:ascii="Verdana" w:hAnsi="Verdana"/>
          <w:sz w:val="20"/>
          <w:szCs w:val="20"/>
        </w:rPr>
        <w:t xml:space="preserve"> is entering, or may enter, the environment in quantities or concentrations or under conditions that:</w:t>
      </w:r>
    </w:p>
    <w:p w14:paraId="708964D1" w14:textId="2F0C8A8E" w:rsidR="00D429F3" w:rsidRPr="00576115" w:rsidRDefault="00D429F3" w:rsidP="009A50EF">
      <w:pPr>
        <w:tabs>
          <w:tab w:val="left" w:pos="284"/>
        </w:tabs>
        <w:spacing w:after="0"/>
        <w:ind w:left="284" w:hanging="284"/>
        <w:jc w:val="both"/>
        <w:rPr>
          <w:rFonts w:ascii="Verdana" w:hAnsi="Verdana"/>
          <w:sz w:val="20"/>
          <w:szCs w:val="20"/>
        </w:rPr>
      </w:pPr>
      <w:r w:rsidRPr="00576115">
        <w:rPr>
          <w:rFonts w:ascii="Verdana" w:hAnsi="Verdana"/>
          <w:sz w:val="20"/>
          <w:szCs w:val="20"/>
        </w:rPr>
        <w:t>•</w:t>
      </w:r>
      <w:r w:rsidR="00556A7F">
        <w:rPr>
          <w:rFonts w:ascii="Verdana" w:hAnsi="Verdana"/>
          <w:sz w:val="20"/>
          <w:szCs w:val="20"/>
        </w:rPr>
        <w:t xml:space="preserve"> </w:t>
      </w:r>
      <w:r w:rsidR="00556A7F">
        <w:rPr>
          <w:rFonts w:ascii="Verdana" w:hAnsi="Verdana"/>
          <w:sz w:val="20"/>
          <w:szCs w:val="20"/>
        </w:rPr>
        <w:tab/>
      </w:r>
      <w:r w:rsidRPr="00576115">
        <w:rPr>
          <w:rFonts w:ascii="Verdana" w:hAnsi="Verdana"/>
          <w:sz w:val="20"/>
          <w:szCs w:val="20"/>
        </w:rPr>
        <w:t>have or may have an immediate or long-term harmful effect on the environment or its biological diversity</w:t>
      </w:r>
      <w:r w:rsidR="009A50EF">
        <w:rPr>
          <w:rFonts w:ascii="Verdana" w:hAnsi="Verdana"/>
          <w:sz w:val="20"/>
          <w:szCs w:val="20"/>
        </w:rPr>
        <w:t>, or</w:t>
      </w:r>
    </w:p>
    <w:p w14:paraId="61ED9BDD" w14:textId="4542A2A1" w:rsidR="00D429F3" w:rsidRPr="00576115" w:rsidRDefault="00D429F3" w:rsidP="009A50EF">
      <w:pPr>
        <w:tabs>
          <w:tab w:val="left" w:pos="284"/>
        </w:tabs>
        <w:spacing w:after="0"/>
        <w:ind w:left="284" w:hanging="284"/>
        <w:jc w:val="both"/>
        <w:rPr>
          <w:rFonts w:ascii="Verdana" w:hAnsi="Verdana"/>
          <w:sz w:val="20"/>
          <w:szCs w:val="20"/>
        </w:rPr>
      </w:pPr>
      <w:r w:rsidRPr="00576115">
        <w:rPr>
          <w:rFonts w:ascii="Verdana" w:hAnsi="Verdana"/>
          <w:sz w:val="20"/>
          <w:szCs w:val="20"/>
        </w:rPr>
        <w:t>•</w:t>
      </w:r>
      <w:r w:rsidR="00556A7F">
        <w:rPr>
          <w:rFonts w:ascii="Verdana" w:hAnsi="Verdana"/>
          <w:sz w:val="20"/>
          <w:szCs w:val="20"/>
        </w:rPr>
        <w:t xml:space="preserve"> </w:t>
      </w:r>
      <w:r w:rsidR="00556A7F">
        <w:rPr>
          <w:rFonts w:ascii="Verdana" w:hAnsi="Verdana"/>
          <w:sz w:val="20"/>
          <w:szCs w:val="20"/>
        </w:rPr>
        <w:tab/>
      </w:r>
      <w:r w:rsidRPr="00576115">
        <w:rPr>
          <w:rFonts w:ascii="Verdana" w:hAnsi="Verdana"/>
          <w:sz w:val="20"/>
          <w:szCs w:val="20"/>
        </w:rPr>
        <w:t>constitute or may constitute a danger in Canada to human life or health</w:t>
      </w:r>
      <w:r w:rsidR="009A50EF">
        <w:rPr>
          <w:rFonts w:ascii="Verdana" w:hAnsi="Verdana"/>
          <w:sz w:val="20"/>
          <w:szCs w:val="20"/>
        </w:rPr>
        <w:t>.</w:t>
      </w:r>
    </w:p>
    <w:p w14:paraId="73815A74" w14:textId="77777777" w:rsidR="00D429F3" w:rsidRPr="00576115" w:rsidRDefault="00D429F3" w:rsidP="009A50EF">
      <w:pPr>
        <w:spacing w:after="0"/>
        <w:jc w:val="both"/>
        <w:rPr>
          <w:rFonts w:ascii="Verdana" w:hAnsi="Verdana"/>
          <w:sz w:val="20"/>
          <w:szCs w:val="20"/>
        </w:rPr>
      </w:pPr>
    </w:p>
    <w:p w14:paraId="26601E9F" w14:textId="385B2413" w:rsidR="00E4400E" w:rsidRDefault="00D429F3" w:rsidP="009A50EF">
      <w:pPr>
        <w:spacing w:after="0"/>
        <w:jc w:val="both"/>
        <w:rPr>
          <w:rFonts w:ascii="Verdana" w:hAnsi="Verdana"/>
          <w:sz w:val="20"/>
          <w:szCs w:val="20"/>
        </w:rPr>
      </w:pPr>
      <w:r w:rsidRPr="00576115">
        <w:rPr>
          <w:rFonts w:ascii="Verdana" w:hAnsi="Verdana"/>
          <w:sz w:val="20"/>
          <w:szCs w:val="20"/>
        </w:rPr>
        <w:t>A</w:t>
      </w:r>
      <w:r w:rsidR="002128BF" w:rsidRPr="00576115">
        <w:rPr>
          <w:rFonts w:ascii="Verdana" w:hAnsi="Verdana"/>
          <w:sz w:val="20"/>
          <w:szCs w:val="20"/>
        </w:rPr>
        <w:t xml:space="preserve"> </w:t>
      </w:r>
      <w:r w:rsidR="00E83F5B">
        <w:rPr>
          <w:rFonts w:ascii="Verdana" w:hAnsi="Verdana"/>
          <w:sz w:val="20"/>
          <w:szCs w:val="20"/>
        </w:rPr>
        <w:t xml:space="preserve">report on a </w:t>
      </w:r>
      <w:r w:rsidR="002128BF" w:rsidRPr="00576115">
        <w:rPr>
          <w:rFonts w:ascii="Verdana" w:hAnsi="Verdana"/>
          <w:sz w:val="20"/>
          <w:szCs w:val="20"/>
        </w:rPr>
        <w:t>socio-economic study on the manufacture, import and use of both medium and long chain chlorinated alkanes in Canada</w:t>
      </w:r>
      <w:r w:rsidRPr="00576115">
        <w:rPr>
          <w:rFonts w:ascii="Verdana" w:hAnsi="Verdana"/>
          <w:sz w:val="20"/>
          <w:szCs w:val="20"/>
        </w:rPr>
        <w:t xml:space="preserve"> was </w:t>
      </w:r>
      <w:r w:rsidR="00E83F5B">
        <w:rPr>
          <w:rFonts w:ascii="Verdana" w:hAnsi="Verdana"/>
          <w:sz w:val="20"/>
          <w:szCs w:val="20"/>
        </w:rPr>
        <w:t>completed</w:t>
      </w:r>
      <w:r w:rsidRPr="00576115">
        <w:rPr>
          <w:rFonts w:ascii="Verdana" w:hAnsi="Verdana"/>
          <w:sz w:val="20"/>
          <w:szCs w:val="20"/>
        </w:rPr>
        <w:t xml:space="preserve"> in March 2019</w:t>
      </w:r>
      <w:r w:rsidR="002128BF" w:rsidRPr="00576115">
        <w:rPr>
          <w:rFonts w:ascii="Verdana" w:hAnsi="Verdana"/>
          <w:sz w:val="20"/>
          <w:szCs w:val="20"/>
        </w:rPr>
        <w:t xml:space="preserve">. The </w:t>
      </w:r>
      <w:r w:rsidR="00E83F5B">
        <w:rPr>
          <w:rFonts w:ascii="Verdana" w:hAnsi="Verdana"/>
          <w:sz w:val="20"/>
          <w:szCs w:val="20"/>
        </w:rPr>
        <w:t xml:space="preserve">report will inform decision making in relation to the risk management of </w:t>
      </w:r>
      <w:r w:rsidR="000578F2">
        <w:rPr>
          <w:rFonts w:ascii="Verdana" w:hAnsi="Verdana"/>
          <w:sz w:val="20"/>
          <w:szCs w:val="20"/>
        </w:rPr>
        <w:t>MCCPs</w:t>
      </w:r>
      <w:r w:rsidR="00E83F5B">
        <w:rPr>
          <w:rFonts w:ascii="Verdana" w:hAnsi="Verdana"/>
          <w:sz w:val="20"/>
          <w:szCs w:val="20"/>
        </w:rPr>
        <w:t>.</w:t>
      </w:r>
    </w:p>
    <w:p w14:paraId="17C8EAE4" w14:textId="77777777" w:rsidR="0095665C" w:rsidRDefault="0095665C" w:rsidP="009A50EF">
      <w:pPr>
        <w:spacing w:after="0"/>
        <w:jc w:val="both"/>
        <w:rPr>
          <w:rFonts w:ascii="Verdana" w:hAnsi="Verdana"/>
          <w:sz w:val="20"/>
          <w:szCs w:val="20"/>
        </w:rPr>
      </w:pPr>
    </w:p>
    <w:p w14:paraId="75D99C89" w14:textId="77777777" w:rsidR="00E4400E" w:rsidRPr="00F72794" w:rsidRDefault="00E4400E" w:rsidP="009A50EF">
      <w:pPr>
        <w:spacing w:after="0"/>
        <w:jc w:val="both"/>
        <w:rPr>
          <w:rFonts w:ascii="Verdana" w:hAnsi="Verdana"/>
          <w:b/>
          <w:sz w:val="20"/>
          <w:szCs w:val="20"/>
        </w:rPr>
      </w:pPr>
      <w:r w:rsidRPr="00F72794">
        <w:rPr>
          <w:rFonts w:ascii="Verdana" w:hAnsi="Verdana"/>
          <w:b/>
          <w:sz w:val="20"/>
          <w:szCs w:val="20"/>
        </w:rPr>
        <w:t>Switzerland</w:t>
      </w:r>
    </w:p>
    <w:p w14:paraId="5AAF98CC" w14:textId="7A9C232D" w:rsidR="00F72794" w:rsidRDefault="00F72794" w:rsidP="009A50EF">
      <w:pPr>
        <w:spacing w:after="0"/>
        <w:jc w:val="both"/>
        <w:rPr>
          <w:rFonts w:ascii="Verdana" w:hAnsi="Verdana"/>
          <w:sz w:val="20"/>
          <w:szCs w:val="20"/>
        </w:rPr>
      </w:pPr>
      <w:r>
        <w:rPr>
          <w:rFonts w:ascii="Verdana" w:hAnsi="Verdana"/>
          <w:sz w:val="20"/>
          <w:szCs w:val="20"/>
        </w:rPr>
        <w:t xml:space="preserve">Swiss researchers are working on the environmental distribution of </w:t>
      </w:r>
      <w:r w:rsidR="000578F2">
        <w:rPr>
          <w:rFonts w:ascii="Verdana" w:hAnsi="Verdana"/>
          <w:sz w:val="20"/>
          <w:szCs w:val="20"/>
        </w:rPr>
        <w:t>MCCPs</w:t>
      </w:r>
      <w:r>
        <w:rPr>
          <w:rFonts w:ascii="Verdana" w:hAnsi="Verdana"/>
          <w:sz w:val="20"/>
          <w:szCs w:val="20"/>
        </w:rPr>
        <w:t xml:space="preserve"> (see </w:t>
      </w:r>
      <w:proofErr w:type="spellStart"/>
      <w:r>
        <w:rPr>
          <w:rFonts w:ascii="Verdana" w:hAnsi="Verdana"/>
          <w:sz w:val="20"/>
          <w:szCs w:val="20"/>
        </w:rPr>
        <w:t>Gl</w:t>
      </w:r>
      <w:r w:rsidR="009A50EF">
        <w:rPr>
          <w:rFonts w:ascii="Verdana" w:hAnsi="Verdana"/>
          <w:sz w:val="20"/>
          <w:szCs w:val="20"/>
        </w:rPr>
        <w:t>ü</w:t>
      </w:r>
      <w:r>
        <w:rPr>
          <w:rFonts w:ascii="Verdana" w:hAnsi="Verdana"/>
          <w:sz w:val="20"/>
          <w:szCs w:val="20"/>
        </w:rPr>
        <w:t>ge</w:t>
      </w:r>
      <w:proofErr w:type="spellEnd"/>
      <w:r w:rsidR="009A50EF">
        <w:rPr>
          <w:rFonts w:ascii="Verdana" w:hAnsi="Verdana"/>
          <w:sz w:val="20"/>
          <w:szCs w:val="20"/>
        </w:rPr>
        <w:t xml:space="preserve"> </w:t>
      </w:r>
      <w:r w:rsidR="009A50EF" w:rsidRPr="009A50EF">
        <w:rPr>
          <w:rFonts w:ascii="Verdana" w:hAnsi="Verdana"/>
          <w:i/>
          <w:sz w:val="20"/>
          <w:szCs w:val="20"/>
        </w:rPr>
        <w:t>et al</w:t>
      </w:r>
      <w:r w:rsidR="009A50EF">
        <w:rPr>
          <w:rFonts w:ascii="Verdana" w:hAnsi="Verdana"/>
          <w:sz w:val="20"/>
          <w:szCs w:val="20"/>
        </w:rPr>
        <w:t>.</w:t>
      </w:r>
      <w:r>
        <w:rPr>
          <w:rFonts w:ascii="Verdana" w:hAnsi="Verdana"/>
          <w:sz w:val="20"/>
          <w:szCs w:val="20"/>
        </w:rPr>
        <w:t>, 2018), and are interest</w:t>
      </w:r>
      <w:r w:rsidR="002D4754">
        <w:rPr>
          <w:rFonts w:ascii="Verdana" w:hAnsi="Verdana"/>
          <w:sz w:val="20"/>
          <w:szCs w:val="20"/>
        </w:rPr>
        <w:t>ed</w:t>
      </w:r>
      <w:r>
        <w:rPr>
          <w:rFonts w:ascii="Verdana" w:hAnsi="Verdana"/>
          <w:sz w:val="20"/>
          <w:szCs w:val="20"/>
        </w:rPr>
        <w:t xml:space="preserve"> in collaborating in studies that could inform </w:t>
      </w:r>
      <w:r w:rsidR="002D4754">
        <w:rPr>
          <w:rFonts w:ascii="Verdana" w:hAnsi="Verdana"/>
          <w:sz w:val="20"/>
          <w:szCs w:val="20"/>
        </w:rPr>
        <w:t xml:space="preserve">a </w:t>
      </w:r>
      <w:r>
        <w:rPr>
          <w:rFonts w:ascii="Verdana" w:hAnsi="Verdana"/>
          <w:sz w:val="20"/>
          <w:szCs w:val="20"/>
        </w:rPr>
        <w:t>POPs nomination.</w:t>
      </w:r>
    </w:p>
    <w:p w14:paraId="2A87F79B" w14:textId="77777777" w:rsidR="00F72794" w:rsidRDefault="00F72794" w:rsidP="002128BF">
      <w:pPr>
        <w:spacing w:after="0"/>
        <w:rPr>
          <w:rFonts w:ascii="Verdana" w:hAnsi="Verdana"/>
          <w:sz w:val="20"/>
          <w:szCs w:val="20"/>
        </w:rPr>
      </w:pPr>
    </w:p>
    <w:p w14:paraId="39B96AEC" w14:textId="77777777" w:rsidR="00080134" w:rsidRDefault="009972DE" w:rsidP="00080134">
      <w:pPr>
        <w:pStyle w:val="Heading1"/>
        <w:tabs>
          <w:tab w:val="clear" w:pos="839"/>
          <w:tab w:val="clear" w:pos="1077"/>
          <w:tab w:val="num" w:pos="360"/>
        </w:tabs>
        <w:spacing w:before="240"/>
        <w:ind w:left="360" w:hanging="360"/>
        <w:rPr>
          <w:rFonts w:ascii="Verdana" w:hAnsi="Verdana"/>
        </w:rPr>
      </w:pPr>
      <w:r>
        <w:rPr>
          <w:rFonts w:ascii="Verdana" w:hAnsi="Verdana"/>
        </w:rPr>
        <w:lastRenderedPageBreak/>
        <w:t>Justification for the risk management option</w:t>
      </w:r>
    </w:p>
    <w:p w14:paraId="39B96AED" w14:textId="77777777" w:rsidR="00080134" w:rsidRDefault="00080134" w:rsidP="00080134">
      <w:pPr>
        <w:pStyle w:val="Heading2"/>
        <w:tabs>
          <w:tab w:val="clear" w:pos="839"/>
          <w:tab w:val="num" w:pos="540"/>
        </w:tabs>
        <w:spacing w:before="240"/>
        <w:ind w:left="540" w:hanging="540"/>
        <w:rPr>
          <w:szCs w:val="24"/>
        </w:rPr>
      </w:pPr>
      <w:r>
        <w:rPr>
          <w:szCs w:val="24"/>
        </w:rPr>
        <w:t>Need for (further) risk management</w:t>
      </w:r>
    </w:p>
    <w:p w14:paraId="1E119E6A" w14:textId="7AAE82C6" w:rsidR="006F30EE" w:rsidRPr="006F30EE" w:rsidRDefault="006F30EE" w:rsidP="006F30EE">
      <w:pPr>
        <w:jc w:val="both"/>
        <w:rPr>
          <w:rFonts w:ascii="Verdana" w:hAnsi="Verdana"/>
          <w:sz w:val="20"/>
          <w:szCs w:val="20"/>
        </w:rPr>
      </w:pPr>
      <w:r>
        <w:rPr>
          <w:rFonts w:ascii="Verdana" w:hAnsi="Verdana"/>
          <w:sz w:val="20"/>
          <w:szCs w:val="20"/>
        </w:rPr>
        <w:t xml:space="preserve">Substance evaluation of </w:t>
      </w:r>
      <w:r w:rsidR="000578F2">
        <w:rPr>
          <w:rFonts w:ascii="Verdana" w:hAnsi="Verdana"/>
          <w:sz w:val="20"/>
          <w:szCs w:val="20"/>
        </w:rPr>
        <w:t>MCCPs</w:t>
      </w:r>
      <w:r w:rsidR="00607BBD">
        <w:rPr>
          <w:rFonts w:ascii="Verdana" w:hAnsi="Verdana"/>
          <w:sz w:val="20"/>
          <w:szCs w:val="20"/>
        </w:rPr>
        <w:t xml:space="preserve"> </w:t>
      </w:r>
      <w:r w:rsidRPr="006F30EE">
        <w:rPr>
          <w:rFonts w:ascii="Verdana" w:hAnsi="Verdana"/>
          <w:sz w:val="20"/>
          <w:szCs w:val="20"/>
        </w:rPr>
        <w:t xml:space="preserve">has </w:t>
      </w:r>
      <w:r w:rsidR="00FA7820">
        <w:rPr>
          <w:rFonts w:ascii="Verdana" w:hAnsi="Verdana"/>
          <w:sz w:val="20"/>
          <w:szCs w:val="20"/>
        </w:rPr>
        <w:t>i</w:t>
      </w:r>
      <w:r w:rsidRPr="006F30EE">
        <w:rPr>
          <w:rFonts w:ascii="Verdana" w:hAnsi="Verdana"/>
          <w:sz w:val="20"/>
          <w:szCs w:val="20"/>
        </w:rPr>
        <w:t xml:space="preserve">dentified </w:t>
      </w:r>
      <w:r w:rsidR="00FA7820">
        <w:rPr>
          <w:rFonts w:ascii="Verdana" w:hAnsi="Verdana"/>
          <w:sz w:val="20"/>
          <w:szCs w:val="20"/>
        </w:rPr>
        <w:t xml:space="preserve">it </w:t>
      </w:r>
      <w:r w:rsidRPr="006F30EE">
        <w:rPr>
          <w:rFonts w:ascii="Verdana" w:hAnsi="Verdana"/>
          <w:sz w:val="20"/>
          <w:szCs w:val="20"/>
        </w:rPr>
        <w:t xml:space="preserve">as </w:t>
      </w:r>
      <w:r w:rsidR="0045764A">
        <w:rPr>
          <w:rFonts w:ascii="Verdana" w:hAnsi="Verdana"/>
          <w:sz w:val="20"/>
          <w:szCs w:val="20"/>
        </w:rPr>
        <w:t xml:space="preserve">a </w:t>
      </w:r>
      <w:r w:rsidRPr="006F30EE">
        <w:rPr>
          <w:rFonts w:ascii="Verdana" w:hAnsi="Verdana"/>
          <w:sz w:val="20"/>
          <w:szCs w:val="20"/>
        </w:rPr>
        <w:t>PBT/vPvB</w:t>
      </w:r>
      <w:r w:rsidR="0045764A">
        <w:rPr>
          <w:rFonts w:ascii="Verdana" w:hAnsi="Verdana"/>
          <w:sz w:val="20"/>
          <w:szCs w:val="20"/>
        </w:rPr>
        <w:t xml:space="preserve"> substance</w:t>
      </w:r>
      <w:r w:rsidRPr="006F30EE">
        <w:rPr>
          <w:rFonts w:ascii="Verdana" w:hAnsi="Verdana"/>
          <w:sz w:val="20"/>
          <w:szCs w:val="20"/>
        </w:rPr>
        <w:t xml:space="preserve">. </w:t>
      </w:r>
      <w:r w:rsidR="00FA7820">
        <w:rPr>
          <w:rFonts w:ascii="Verdana" w:hAnsi="Verdana"/>
          <w:sz w:val="20"/>
          <w:szCs w:val="20"/>
        </w:rPr>
        <w:t>It</w:t>
      </w:r>
      <w:r w:rsidRPr="006F30EE">
        <w:rPr>
          <w:rFonts w:ascii="Verdana" w:hAnsi="Verdana"/>
          <w:sz w:val="20"/>
          <w:szCs w:val="20"/>
        </w:rPr>
        <w:t xml:space="preserve"> is considered to be of relevance under the SVHC Roadmap to 2020 (</w:t>
      </w:r>
      <w:r w:rsidR="00F123FD">
        <w:rPr>
          <w:rFonts w:ascii="Verdana" w:hAnsi="Verdana"/>
          <w:sz w:val="20"/>
          <w:szCs w:val="20"/>
        </w:rPr>
        <w:fldChar w:fldCharType="begin"/>
      </w:r>
      <w:r w:rsidR="00F123FD">
        <w:rPr>
          <w:rFonts w:ascii="Verdana" w:hAnsi="Verdana"/>
          <w:sz w:val="20"/>
          <w:szCs w:val="20"/>
        </w:rPr>
        <w:instrText xml:space="preserve"> REF _Ref24112792 \h </w:instrText>
      </w:r>
      <w:r w:rsidR="00F123FD">
        <w:rPr>
          <w:rFonts w:ascii="Verdana" w:hAnsi="Verdana"/>
          <w:sz w:val="20"/>
          <w:szCs w:val="20"/>
        </w:rPr>
      </w:r>
      <w:r w:rsidR="00F123FD">
        <w:rPr>
          <w:rFonts w:ascii="Verdana" w:hAnsi="Verdana"/>
          <w:sz w:val="20"/>
          <w:szCs w:val="20"/>
        </w:rPr>
        <w:fldChar w:fldCharType="separate"/>
      </w:r>
      <w:r w:rsidR="00F123FD" w:rsidRPr="009A50EF">
        <w:rPr>
          <w:rFonts w:ascii="Verdana" w:hAnsi="Verdana"/>
          <w:sz w:val="20"/>
          <w:szCs w:val="20"/>
        </w:rPr>
        <w:t xml:space="preserve">Table </w:t>
      </w:r>
      <w:r w:rsidR="00F123FD">
        <w:rPr>
          <w:rFonts w:ascii="Verdana" w:hAnsi="Verdana"/>
          <w:noProof/>
          <w:sz w:val="20"/>
        </w:rPr>
        <w:t>12</w:t>
      </w:r>
      <w:r w:rsidR="00F123FD">
        <w:rPr>
          <w:rFonts w:ascii="Verdana" w:hAnsi="Verdana"/>
          <w:sz w:val="20"/>
          <w:szCs w:val="20"/>
        </w:rPr>
        <w:fldChar w:fldCharType="end"/>
      </w:r>
      <w:r w:rsidRPr="006F30EE">
        <w:rPr>
          <w:rFonts w:ascii="Verdana" w:hAnsi="Verdana"/>
          <w:sz w:val="20"/>
          <w:szCs w:val="20"/>
        </w:rPr>
        <w:t>).</w:t>
      </w:r>
    </w:p>
    <w:p w14:paraId="39B96AF0" w14:textId="4B897CD3" w:rsidR="001A4BCD" w:rsidRPr="00376715" w:rsidRDefault="006F30EE" w:rsidP="00622924">
      <w:pPr>
        <w:jc w:val="both"/>
        <w:rPr>
          <w:rFonts w:ascii="Verdana" w:hAnsi="Verdana"/>
          <w:i/>
          <w:sz w:val="20"/>
          <w:szCs w:val="20"/>
        </w:rPr>
      </w:pPr>
      <w:r w:rsidRPr="006F30EE">
        <w:rPr>
          <w:rFonts w:ascii="Verdana" w:hAnsi="Verdana"/>
          <w:sz w:val="20"/>
          <w:szCs w:val="20"/>
        </w:rPr>
        <w:t xml:space="preserve">The use profile of </w:t>
      </w:r>
      <w:r w:rsidR="000578F2">
        <w:rPr>
          <w:rFonts w:ascii="Verdana" w:hAnsi="Verdana"/>
          <w:sz w:val="20"/>
          <w:szCs w:val="20"/>
        </w:rPr>
        <w:t>MCCPs</w:t>
      </w:r>
      <w:r w:rsidR="00607BBD">
        <w:rPr>
          <w:rFonts w:ascii="Verdana" w:hAnsi="Verdana"/>
          <w:sz w:val="20"/>
          <w:szCs w:val="20"/>
        </w:rPr>
        <w:t xml:space="preserve"> </w:t>
      </w:r>
      <w:r w:rsidRPr="006F30EE">
        <w:rPr>
          <w:rFonts w:ascii="Verdana" w:hAnsi="Verdana"/>
          <w:sz w:val="20"/>
          <w:szCs w:val="20"/>
        </w:rPr>
        <w:t xml:space="preserve">suggests a potential for </w:t>
      </w:r>
      <w:r w:rsidR="00622924">
        <w:rPr>
          <w:rFonts w:ascii="Verdana" w:hAnsi="Verdana"/>
          <w:sz w:val="20"/>
          <w:szCs w:val="20"/>
        </w:rPr>
        <w:t xml:space="preserve">widespread dispersive </w:t>
      </w:r>
      <w:r w:rsidRPr="006F30EE">
        <w:rPr>
          <w:rFonts w:ascii="Verdana" w:hAnsi="Verdana"/>
          <w:sz w:val="20"/>
          <w:szCs w:val="20"/>
        </w:rPr>
        <w:t>release to the environment, including during the service life of articles and their subsequent disposal.</w:t>
      </w:r>
      <w:r w:rsidRPr="006F30EE">
        <w:rPr>
          <w:rFonts w:ascii="Verdana" w:hAnsi="Verdana"/>
          <w:i/>
          <w:sz w:val="20"/>
          <w:szCs w:val="20"/>
        </w:rPr>
        <w:t xml:space="preserve"> </w:t>
      </w:r>
    </w:p>
    <w:p w14:paraId="39B96AF1" w14:textId="67C59B98" w:rsidR="001A4BCD" w:rsidRPr="007D2EEF" w:rsidRDefault="00F123FD" w:rsidP="009A50EF">
      <w:pPr>
        <w:pStyle w:val="Caption"/>
        <w:rPr>
          <w:rFonts w:ascii="Verdana" w:hAnsi="Verdana"/>
          <w:b/>
          <w:sz w:val="20"/>
        </w:rPr>
      </w:pPr>
      <w:bookmarkStart w:id="36" w:name="_Ref24112792"/>
      <w:r w:rsidRPr="009A50EF">
        <w:rPr>
          <w:rFonts w:ascii="Verdana" w:hAnsi="Verdana"/>
          <w:sz w:val="20"/>
        </w:rPr>
        <w:t xml:space="preserve">Table </w:t>
      </w:r>
      <w:r w:rsidRPr="009A50EF">
        <w:rPr>
          <w:rFonts w:ascii="Verdana" w:hAnsi="Verdana"/>
          <w:sz w:val="20"/>
        </w:rPr>
        <w:fldChar w:fldCharType="begin"/>
      </w:r>
      <w:r w:rsidRPr="009A50EF">
        <w:rPr>
          <w:rFonts w:ascii="Verdana" w:hAnsi="Verdana"/>
          <w:sz w:val="20"/>
        </w:rPr>
        <w:instrText xml:space="preserve"> SEQ Table \* ARABIC </w:instrText>
      </w:r>
      <w:r w:rsidRPr="009A50EF">
        <w:rPr>
          <w:rFonts w:ascii="Verdana" w:hAnsi="Verdana"/>
          <w:sz w:val="20"/>
        </w:rPr>
        <w:fldChar w:fldCharType="separate"/>
      </w:r>
      <w:r w:rsidR="005C355A">
        <w:rPr>
          <w:rFonts w:ascii="Verdana" w:hAnsi="Verdana"/>
          <w:noProof/>
          <w:sz w:val="20"/>
        </w:rPr>
        <w:t>12</w:t>
      </w:r>
      <w:r w:rsidRPr="009A50EF">
        <w:rPr>
          <w:rFonts w:ascii="Verdana" w:hAnsi="Verdana"/>
          <w:sz w:val="20"/>
        </w:rPr>
        <w:fldChar w:fldCharType="end"/>
      </w:r>
      <w:bookmarkEnd w:id="36"/>
      <w:r w:rsidR="001A4BCD" w:rsidRPr="007D2EEF">
        <w:rPr>
          <w:rFonts w:ascii="Verdana" w:hAnsi="Verdana"/>
          <w:b/>
          <w:sz w:val="20"/>
        </w:rPr>
        <w:t>: SVHC Roadmap 2020 criteria</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1537"/>
        <w:gridCol w:w="1259"/>
      </w:tblGrid>
      <w:tr w:rsidR="001A4BCD" w:rsidRPr="00376715" w14:paraId="39B96AF5" w14:textId="77777777" w:rsidTr="00E31D69">
        <w:tc>
          <w:tcPr>
            <w:tcW w:w="5313" w:type="dxa"/>
            <w:shd w:val="clear" w:color="auto" w:fill="auto"/>
          </w:tcPr>
          <w:p w14:paraId="39B96AF2" w14:textId="77777777" w:rsidR="001A4BCD" w:rsidRPr="00376715" w:rsidRDefault="001A4BCD" w:rsidP="00E31D69">
            <w:pPr>
              <w:pStyle w:val="ListParagraph"/>
              <w:ind w:left="360"/>
              <w:rPr>
                <w:rFonts w:ascii="Verdana" w:hAnsi="Verdana"/>
                <w:sz w:val="20"/>
                <w:szCs w:val="20"/>
              </w:rPr>
            </w:pPr>
          </w:p>
        </w:tc>
        <w:tc>
          <w:tcPr>
            <w:tcW w:w="1537" w:type="dxa"/>
            <w:shd w:val="clear" w:color="auto" w:fill="auto"/>
          </w:tcPr>
          <w:p w14:paraId="39B96AF3" w14:textId="77777777" w:rsidR="001A4BCD" w:rsidRPr="00376715" w:rsidRDefault="001A4BCD" w:rsidP="00E31D69">
            <w:pPr>
              <w:jc w:val="center"/>
              <w:rPr>
                <w:rFonts w:ascii="Verdana" w:hAnsi="Verdana"/>
                <w:sz w:val="20"/>
                <w:szCs w:val="20"/>
              </w:rPr>
            </w:pPr>
            <w:r w:rsidRPr="00376715">
              <w:rPr>
                <w:rFonts w:ascii="Verdana" w:hAnsi="Verdana"/>
                <w:sz w:val="20"/>
                <w:szCs w:val="20"/>
              </w:rPr>
              <w:t>Yes</w:t>
            </w:r>
          </w:p>
        </w:tc>
        <w:tc>
          <w:tcPr>
            <w:tcW w:w="1259" w:type="dxa"/>
            <w:shd w:val="clear" w:color="auto" w:fill="auto"/>
          </w:tcPr>
          <w:p w14:paraId="39B96AF4" w14:textId="77777777" w:rsidR="001A4BCD" w:rsidRPr="00376715" w:rsidRDefault="001A4BCD" w:rsidP="00E31D69">
            <w:pPr>
              <w:jc w:val="center"/>
              <w:rPr>
                <w:rFonts w:ascii="Verdana" w:hAnsi="Verdana"/>
                <w:sz w:val="20"/>
                <w:szCs w:val="20"/>
              </w:rPr>
            </w:pPr>
            <w:r w:rsidRPr="00376715">
              <w:rPr>
                <w:rFonts w:ascii="Verdana" w:hAnsi="Verdana"/>
                <w:sz w:val="20"/>
                <w:szCs w:val="20"/>
              </w:rPr>
              <w:t>No</w:t>
            </w:r>
          </w:p>
        </w:tc>
      </w:tr>
      <w:tr w:rsidR="00900660" w:rsidRPr="00376715" w14:paraId="39B96AF9" w14:textId="77777777" w:rsidTr="00E31D69">
        <w:tc>
          <w:tcPr>
            <w:tcW w:w="5313" w:type="dxa"/>
            <w:shd w:val="clear" w:color="auto" w:fill="auto"/>
          </w:tcPr>
          <w:p w14:paraId="39B96AF6" w14:textId="77777777" w:rsidR="00900660" w:rsidRPr="00376715" w:rsidRDefault="00900660" w:rsidP="00E31D69">
            <w:pPr>
              <w:rPr>
                <w:rFonts w:ascii="Verdana" w:hAnsi="Verdana"/>
                <w:sz w:val="20"/>
                <w:szCs w:val="20"/>
              </w:rPr>
            </w:pPr>
            <w:r w:rsidRPr="00376715">
              <w:rPr>
                <w:rFonts w:ascii="Verdana" w:hAnsi="Verdana"/>
                <w:sz w:val="20"/>
                <w:szCs w:val="20"/>
              </w:rPr>
              <w:t>a) Art 57 criteria fulfilled?</w:t>
            </w:r>
          </w:p>
        </w:tc>
        <w:tc>
          <w:tcPr>
            <w:tcW w:w="1537" w:type="dxa"/>
            <w:shd w:val="clear" w:color="auto" w:fill="auto"/>
          </w:tcPr>
          <w:p w14:paraId="39B96AF7" w14:textId="7E888F62" w:rsidR="00900660" w:rsidRPr="00376715" w:rsidRDefault="00F96065" w:rsidP="000E324D">
            <w:pPr>
              <w:jc w:val="center"/>
              <w:rPr>
                <w:rFonts w:ascii="Verdana" w:hAnsi="Verdana"/>
                <w:sz w:val="20"/>
                <w:szCs w:val="20"/>
              </w:rPr>
            </w:pPr>
            <w:r w:rsidRPr="00EB5C5E" w:rsidDel="006478CE">
              <w:rPr>
                <w:rFonts w:ascii="Verdana" w:hAnsi="Verdana"/>
                <w:sz w:val="20"/>
                <w:szCs w:val="20"/>
                <w:lang w:val="en-GB"/>
              </w:rPr>
              <w:sym w:font="Wingdings" w:char="F0FC"/>
            </w:r>
          </w:p>
        </w:tc>
        <w:tc>
          <w:tcPr>
            <w:tcW w:w="1259" w:type="dxa"/>
            <w:shd w:val="clear" w:color="auto" w:fill="auto"/>
          </w:tcPr>
          <w:p w14:paraId="39B96AF8" w14:textId="77777777" w:rsidR="00900660" w:rsidRPr="00376715" w:rsidRDefault="00900660" w:rsidP="00E31D69">
            <w:pPr>
              <w:rPr>
                <w:rFonts w:ascii="Verdana" w:hAnsi="Verdana"/>
                <w:sz w:val="20"/>
                <w:szCs w:val="20"/>
              </w:rPr>
            </w:pPr>
          </w:p>
        </w:tc>
      </w:tr>
      <w:tr w:rsidR="00900660" w:rsidRPr="00376715" w14:paraId="39B96AFD" w14:textId="77777777" w:rsidTr="00E31D69">
        <w:tc>
          <w:tcPr>
            <w:tcW w:w="5313" w:type="dxa"/>
            <w:shd w:val="clear" w:color="auto" w:fill="auto"/>
          </w:tcPr>
          <w:p w14:paraId="39B96AFA" w14:textId="77777777" w:rsidR="00900660" w:rsidRPr="00376715" w:rsidRDefault="00900660" w:rsidP="00E31D69">
            <w:pPr>
              <w:rPr>
                <w:rFonts w:ascii="Verdana" w:hAnsi="Verdana"/>
                <w:sz w:val="20"/>
                <w:szCs w:val="20"/>
              </w:rPr>
            </w:pPr>
            <w:r w:rsidRPr="00376715">
              <w:rPr>
                <w:rFonts w:ascii="Verdana" w:hAnsi="Verdana"/>
                <w:sz w:val="20"/>
                <w:szCs w:val="20"/>
              </w:rPr>
              <w:t>b) Registrations in accordance with Article 10?</w:t>
            </w:r>
          </w:p>
        </w:tc>
        <w:tc>
          <w:tcPr>
            <w:tcW w:w="1537" w:type="dxa"/>
            <w:shd w:val="clear" w:color="auto" w:fill="auto"/>
          </w:tcPr>
          <w:p w14:paraId="39B96AFB" w14:textId="57F197DD" w:rsidR="00900660" w:rsidRPr="00376715" w:rsidRDefault="00F96065" w:rsidP="000E324D">
            <w:pPr>
              <w:jc w:val="center"/>
              <w:rPr>
                <w:rFonts w:ascii="Verdana" w:hAnsi="Verdana"/>
                <w:sz w:val="20"/>
                <w:szCs w:val="20"/>
              </w:rPr>
            </w:pPr>
            <w:r w:rsidRPr="00EB5C5E" w:rsidDel="006478CE">
              <w:rPr>
                <w:rFonts w:ascii="Verdana" w:hAnsi="Verdana"/>
                <w:sz w:val="20"/>
                <w:szCs w:val="20"/>
                <w:lang w:val="en-GB"/>
              </w:rPr>
              <w:sym w:font="Wingdings" w:char="F0FC"/>
            </w:r>
          </w:p>
        </w:tc>
        <w:tc>
          <w:tcPr>
            <w:tcW w:w="1259" w:type="dxa"/>
            <w:shd w:val="clear" w:color="auto" w:fill="auto"/>
          </w:tcPr>
          <w:p w14:paraId="39B96AFC" w14:textId="77777777" w:rsidR="00900660" w:rsidRPr="00376715" w:rsidRDefault="00900660" w:rsidP="00E31D69">
            <w:pPr>
              <w:rPr>
                <w:rFonts w:ascii="Verdana" w:hAnsi="Verdana"/>
                <w:sz w:val="20"/>
                <w:szCs w:val="20"/>
              </w:rPr>
            </w:pPr>
          </w:p>
        </w:tc>
      </w:tr>
      <w:tr w:rsidR="00900660" w:rsidRPr="00376715" w14:paraId="39B96B01" w14:textId="77777777" w:rsidTr="00E31D69">
        <w:tc>
          <w:tcPr>
            <w:tcW w:w="5313" w:type="dxa"/>
            <w:shd w:val="clear" w:color="auto" w:fill="auto"/>
          </w:tcPr>
          <w:p w14:paraId="39B96AFE" w14:textId="77777777" w:rsidR="00900660" w:rsidRPr="00376715" w:rsidRDefault="00900660" w:rsidP="00E31D69">
            <w:pPr>
              <w:rPr>
                <w:rFonts w:ascii="Verdana" w:hAnsi="Verdana"/>
                <w:sz w:val="20"/>
                <w:szCs w:val="20"/>
              </w:rPr>
            </w:pPr>
            <w:r w:rsidRPr="00376715">
              <w:rPr>
                <w:rFonts w:ascii="Verdana" w:hAnsi="Verdana"/>
                <w:sz w:val="20"/>
                <w:szCs w:val="20"/>
              </w:rPr>
              <w:t>c) Registrations include uses within scope of authorisation?</w:t>
            </w:r>
          </w:p>
        </w:tc>
        <w:tc>
          <w:tcPr>
            <w:tcW w:w="1537" w:type="dxa"/>
            <w:shd w:val="clear" w:color="auto" w:fill="auto"/>
          </w:tcPr>
          <w:p w14:paraId="39B96AFF" w14:textId="6A5BDD76" w:rsidR="00900660" w:rsidRPr="00376715" w:rsidRDefault="00F96065" w:rsidP="000E324D">
            <w:pPr>
              <w:jc w:val="center"/>
              <w:rPr>
                <w:rFonts w:ascii="Verdana" w:hAnsi="Verdana"/>
                <w:sz w:val="20"/>
                <w:szCs w:val="20"/>
              </w:rPr>
            </w:pPr>
            <w:r w:rsidRPr="00EB5C5E" w:rsidDel="006478CE">
              <w:rPr>
                <w:rFonts w:ascii="Verdana" w:hAnsi="Verdana"/>
                <w:sz w:val="20"/>
                <w:szCs w:val="20"/>
                <w:lang w:val="en-GB"/>
              </w:rPr>
              <w:sym w:font="Wingdings" w:char="F0FC"/>
            </w:r>
          </w:p>
        </w:tc>
        <w:tc>
          <w:tcPr>
            <w:tcW w:w="1259" w:type="dxa"/>
            <w:shd w:val="clear" w:color="auto" w:fill="auto"/>
          </w:tcPr>
          <w:p w14:paraId="39B96B00" w14:textId="77777777" w:rsidR="00900660" w:rsidRPr="00376715" w:rsidRDefault="00900660" w:rsidP="00E31D69">
            <w:pPr>
              <w:rPr>
                <w:rFonts w:ascii="Verdana" w:hAnsi="Verdana"/>
                <w:sz w:val="20"/>
                <w:szCs w:val="20"/>
              </w:rPr>
            </w:pPr>
          </w:p>
        </w:tc>
      </w:tr>
      <w:tr w:rsidR="00900660" w:rsidRPr="00376715" w14:paraId="39B96B05" w14:textId="77777777" w:rsidTr="00E31D69">
        <w:tc>
          <w:tcPr>
            <w:tcW w:w="5313" w:type="dxa"/>
            <w:shd w:val="clear" w:color="auto" w:fill="auto"/>
          </w:tcPr>
          <w:p w14:paraId="39B96B02" w14:textId="77777777" w:rsidR="00900660" w:rsidRPr="00376715" w:rsidRDefault="00900660" w:rsidP="00E31D69">
            <w:pPr>
              <w:rPr>
                <w:rFonts w:ascii="Verdana" w:hAnsi="Verdana"/>
                <w:sz w:val="20"/>
                <w:szCs w:val="20"/>
              </w:rPr>
            </w:pPr>
            <w:r w:rsidRPr="00376715">
              <w:rPr>
                <w:rFonts w:ascii="Verdana" w:hAnsi="Verdana"/>
                <w:sz w:val="20"/>
                <w:szCs w:val="20"/>
              </w:rPr>
              <w:t xml:space="preserve">d) Known uses </w:t>
            </w:r>
            <w:r w:rsidRPr="00376715">
              <w:rPr>
                <w:rFonts w:ascii="Verdana" w:hAnsi="Verdana"/>
                <w:sz w:val="20"/>
                <w:szCs w:val="20"/>
                <w:u w:val="single"/>
              </w:rPr>
              <w:t>not</w:t>
            </w:r>
            <w:r w:rsidRPr="00376715">
              <w:rPr>
                <w:rFonts w:ascii="Verdana" w:hAnsi="Verdana"/>
                <w:sz w:val="20"/>
                <w:szCs w:val="20"/>
              </w:rPr>
              <w:t xml:space="preserve"> already regulated by specific EU legislation that provides a pressure for substitution?</w:t>
            </w:r>
          </w:p>
        </w:tc>
        <w:tc>
          <w:tcPr>
            <w:tcW w:w="1537" w:type="dxa"/>
            <w:shd w:val="clear" w:color="auto" w:fill="auto"/>
          </w:tcPr>
          <w:p w14:paraId="39B96B03" w14:textId="614BF273" w:rsidR="00900660" w:rsidRPr="00376715" w:rsidRDefault="00F96065" w:rsidP="000E324D">
            <w:pPr>
              <w:jc w:val="center"/>
              <w:rPr>
                <w:rFonts w:ascii="Verdana" w:hAnsi="Verdana"/>
                <w:sz w:val="20"/>
                <w:szCs w:val="20"/>
              </w:rPr>
            </w:pPr>
            <w:r w:rsidRPr="00EB5C5E" w:rsidDel="006478CE">
              <w:rPr>
                <w:rFonts w:ascii="Verdana" w:hAnsi="Verdana"/>
                <w:sz w:val="20"/>
                <w:szCs w:val="20"/>
                <w:lang w:val="en-GB"/>
              </w:rPr>
              <w:sym w:font="Wingdings" w:char="F0FC"/>
            </w:r>
          </w:p>
        </w:tc>
        <w:tc>
          <w:tcPr>
            <w:tcW w:w="1259" w:type="dxa"/>
            <w:shd w:val="clear" w:color="auto" w:fill="auto"/>
          </w:tcPr>
          <w:p w14:paraId="39B96B04" w14:textId="77777777" w:rsidR="00900660" w:rsidRPr="00376715" w:rsidRDefault="00900660" w:rsidP="00E31D69">
            <w:pPr>
              <w:rPr>
                <w:rFonts w:ascii="Verdana" w:hAnsi="Verdana"/>
                <w:sz w:val="20"/>
                <w:szCs w:val="20"/>
              </w:rPr>
            </w:pPr>
          </w:p>
        </w:tc>
      </w:tr>
    </w:tbl>
    <w:p w14:paraId="39B96B06" w14:textId="77777777" w:rsidR="001A4BCD" w:rsidRDefault="001A4BCD" w:rsidP="001A4BCD">
      <w:pPr>
        <w:spacing w:after="0"/>
        <w:jc w:val="both"/>
        <w:rPr>
          <w:rFonts w:ascii="Verdana" w:hAnsi="Verdana"/>
          <w:sz w:val="20"/>
          <w:szCs w:val="20"/>
        </w:rPr>
      </w:pPr>
    </w:p>
    <w:p w14:paraId="66DEF1B8" w14:textId="7A93093D" w:rsidR="00EB5C5E" w:rsidRPr="00EB5C5E" w:rsidRDefault="00EB5C5E" w:rsidP="00EB5C5E">
      <w:pPr>
        <w:keepNext/>
        <w:spacing w:before="120" w:after="90"/>
        <w:jc w:val="both"/>
        <w:rPr>
          <w:rFonts w:ascii="Verdana" w:hAnsi="Verdana"/>
          <w:bCs/>
          <w:sz w:val="20"/>
          <w:szCs w:val="20"/>
          <w:lang w:val="en-GB"/>
        </w:rPr>
      </w:pPr>
      <w:r w:rsidRPr="00EB5C5E">
        <w:rPr>
          <w:rFonts w:ascii="Verdana" w:hAnsi="Verdana"/>
          <w:bCs/>
          <w:sz w:val="20"/>
          <w:szCs w:val="20"/>
          <w:lang w:val="en-GB"/>
        </w:rPr>
        <w:t xml:space="preserve">The actual level of risk from different parts of the life cycle is unclear because of uncertainties in the emission estimates, </w:t>
      </w:r>
      <w:r w:rsidR="00DF3BAC">
        <w:rPr>
          <w:rFonts w:ascii="Verdana" w:hAnsi="Verdana"/>
          <w:bCs/>
          <w:sz w:val="20"/>
          <w:szCs w:val="20"/>
          <w:lang w:val="en-GB"/>
        </w:rPr>
        <w:t>but</w:t>
      </w:r>
      <w:r w:rsidRPr="00EB5C5E">
        <w:rPr>
          <w:rFonts w:ascii="Verdana" w:hAnsi="Verdana"/>
          <w:bCs/>
          <w:sz w:val="20"/>
          <w:szCs w:val="20"/>
          <w:lang w:val="en-GB"/>
        </w:rPr>
        <w:t xml:space="preserve"> the substance has been detected widely in the European environment at relatively low concentrations</w:t>
      </w:r>
      <w:r w:rsidR="00700A27">
        <w:rPr>
          <w:rFonts w:ascii="Verdana" w:hAnsi="Verdana"/>
          <w:bCs/>
          <w:sz w:val="20"/>
          <w:szCs w:val="20"/>
          <w:lang w:val="en-GB"/>
        </w:rPr>
        <w:t xml:space="preserve"> (see Section </w:t>
      </w:r>
      <w:r w:rsidR="0045764A">
        <w:rPr>
          <w:rFonts w:ascii="Verdana" w:hAnsi="Verdana"/>
          <w:bCs/>
          <w:sz w:val="20"/>
          <w:szCs w:val="20"/>
          <w:lang w:val="en-GB"/>
        </w:rPr>
        <w:t>4.3.2</w:t>
      </w:r>
      <w:r w:rsidR="00700A27">
        <w:rPr>
          <w:rFonts w:ascii="Verdana" w:hAnsi="Verdana"/>
          <w:bCs/>
          <w:sz w:val="20"/>
          <w:szCs w:val="20"/>
          <w:lang w:val="en-GB"/>
        </w:rPr>
        <w:t>)</w:t>
      </w:r>
      <w:r w:rsidRPr="00EB5C5E">
        <w:rPr>
          <w:rFonts w:ascii="Verdana" w:hAnsi="Verdana"/>
          <w:bCs/>
          <w:sz w:val="20"/>
          <w:szCs w:val="20"/>
          <w:lang w:val="en-GB"/>
        </w:rPr>
        <w:t>.</w:t>
      </w:r>
    </w:p>
    <w:p w14:paraId="3A1736CB" w14:textId="7E7FA169" w:rsidR="00A13B3F" w:rsidRDefault="00622924" w:rsidP="00EB5C5E">
      <w:pPr>
        <w:keepNext/>
        <w:spacing w:before="120" w:after="90"/>
        <w:jc w:val="both"/>
        <w:rPr>
          <w:rFonts w:ascii="Verdana" w:hAnsi="Verdana"/>
          <w:bCs/>
          <w:sz w:val="20"/>
          <w:szCs w:val="20"/>
          <w:lang w:val="en-GB"/>
        </w:rPr>
      </w:pPr>
      <w:r>
        <w:rPr>
          <w:rFonts w:ascii="Verdana" w:hAnsi="Verdana"/>
          <w:bCs/>
          <w:sz w:val="20"/>
          <w:szCs w:val="20"/>
          <w:lang w:val="en-GB"/>
        </w:rPr>
        <w:t>The UK CA</w:t>
      </w:r>
      <w:r w:rsidRPr="00EB5C5E">
        <w:rPr>
          <w:rFonts w:ascii="Verdana" w:hAnsi="Verdana"/>
          <w:bCs/>
          <w:sz w:val="20"/>
          <w:szCs w:val="20"/>
          <w:lang w:val="en-GB"/>
        </w:rPr>
        <w:t xml:space="preserve"> </w:t>
      </w:r>
      <w:r w:rsidR="00EB5C5E" w:rsidRPr="00EB5C5E">
        <w:rPr>
          <w:rFonts w:ascii="Verdana" w:hAnsi="Verdana"/>
          <w:bCs/>
          <w:sz w:val="20"/>
          <w:szCs w:val="20"/>
          <w:lang w:val="en-GB"/>
        </w:rPr>
        <w:t>consider</w:t>
      </w:r>
      <w:r>
        <w:rPr>
          <w:rFonts w:ascii="Verdana" w:hAnsi="Verdana"/>
          <w:bCs/>
          <w:sz w:val="20"/>
          <w:szCs w:val="20"/>
          <w:lang w:val="en-GB"/>
        </w:rPr>
        <w:t>s</w:t>
      </w:r>
      <w:r w:rsidR="00EB5C5E" w:rsidRPr="00EB5C5E">
        <w:rPr>
          <w:rFonts w:ascii="Verdana" w:hAnsi="Verdana"/>
          <w:bCs/>
          <w:sz w:val="20"/>
          <w:szCs w:val="20"/>
          <w:lang w:val="en-GB"/>
        </w:rPr>
        <w:t xml:space="preserve"> that the risk management measures currently applied by the </w:t>
      </w:r>
      <w:r w:rsidR="00E4400E">
        <w:rPr>
          <w:rFonts w:ascii="Verdana" w:hAnsi="Verdana"/>
          <w:bCs/>
          <w:sz w:val="20"/>
          <w:szCs w:val="20"/>
          <w:lang w:val="en-GB"/>
        </w:rPr>
        <w:t>l</w:t>
      </w:r>
      <w:r w:rsidR="00EB5C5E" w:rsidRPr="00D85C9F">
        <w:rPr>
          <w:rFonts w:ascii="Verdana" w:hAnsi="Verdana"/>
          <w:bCs/>
          <w:sz w:val="20"/>
          <w:szCs w:val="20"/>
          <w:lang w:val="en-GB"/>
        </w:rPr>
        <w:t xml:space="preserve">ead </w:t>
      </w:r>
      <w:r>
        <w:rPr>
          <w:rFonts w:ascii="Verdana" w:hAnsi="Verdana"/>
          <w:bCs/>
          <w:sz w:val="20"/>
          <w:szCs w:val="20"/>
          <w:lang w:val="en-GB"/>
        </w:rPr>
        <w:t>Registrant</w:t>
      </w:r>
      <w:r w:rsidR="00EB5C5E" w:rsidRPr="00EB5C5E">
        <w:rPr>
          <w:rFonts w:ascii="Verdana" w:hAnsi="Verdana"/>
          <w:bCs/>
          <w:sz w:val="20"/>
          <w:szCs w:val="20"/>
          <w:lang w:val="en-GB"/>
        </w:rPr>
        <w:t xml:space="preserve"> are sensible and demonstrate that they have taken </w:t>
      </w:r>
      <w:r w:rsidR="0045764A">
        <w:rPr>
          <w:rFonts w:ascii="Verdana" w:hAnsi="Verdana"/>
          <w:bCs/>
          <w:sz w:val="20"/>
          <w:szCs w:val="20"/>
          <w:lang w:val="en-GB"/>
        </w:rPr>
        <w:t xml:space="preserve">some </w:t>
      </w:r>
      <w:r w:rsidR="00EB5C5E" w:rsidRPr="00EB5C5E">
        <w:rPr>
          <w:rFonts w:ascii="Verdana" w:hAnsi="Verdana"/>
          <w:bCs/>
          <w:sz w:val="20"/>
          <w:szCs w:val="20"/>
          <w:lang w:val="en-GB"/>
        </w:rPr>
        <w:t xml:space="preserve">responsibility for safe use. However, they may still not be sufficient to minimise releases to the greatest extent </w:t>
      </w:r>
      <w:r w:rsidR="00257B8E">
        <w:rPr>
          <w:rFonts w:ascii="Verdana" w:hAnsi="Verdana"/>
          <w:bCs/>
          <w:sz w:val="20"/>
          <w:szCs w:val="20"/>
          <w:lang w:val="en-GB"/>
        </w:rPr>
        <w:t>technically and practically feasible.</w:t>
      </w:r>
      <w:r>
        <w:rPr>
          <w:rFonts w:ascii="Verdana" w:hAnsi="Verdana"/>
          <w:bCs/>
          <w:sz w:val="20"/>
          <w:szCs w:val="20"/>
          <w:lang w:val="en-GB"/>
        </w:rPr>
        <w:t xml:space="preserve"> In particular, the </w:t>
      </w:r>
      <w:r w:rsidR="00E4400E">
        <w:rPr>
          <w:rFonts w:ascii="Verdana" w:hAnsi="Verdana"/>
          <w:bCs/>
          <w:sz w:val="20"/>
          <w:szCs w:val="20"/>
          <w:lang w:val="en-GB"/>
        </w:rPr>
        <w:t xml:space="preserve">lead </w:t>
      </w:r>
      <w:r>
        <w:rPr>
          <w:rFonts w:ascii="Verdana" w:hAnsi="Verdana"/>
          <w:bCs/>
          <w:sz w:val="20"/>
          <w:szCs w:val="20"/>
          <w:lang w:val="en-GB"/>
        </w:rPr>
        <w:t>Registrant ha</w:t>
      </w:r>
      <w:r w:rsidR="00E4400E">
        <w:rPr>
          <w:rFonts w:ascii="Verdana" w:hAnsi="Verdana"/>
          <w:bCs/>
          <w:sz w:val="20"/>
          <w:szCs w:val="20"/>
          <w:lang w:val="en-GB"/>
        </w:rPr>
        <w:t>s</w:t>
      </w:r>
      <w:r>
        <w:rPr>
          <w:rFonts w:ascii="Verdana" w:hAnsi="Verdana"/>
          <w:bCs/>
          <w:sz w:val="20"/>
          <w:szCs w:val="20"/>
          <w:lang w:val="en-GB"/>
        </w:rPr>
        <w:t xml:space="preserve"> not concluded that </w:t>
      </w:r>
      <w:r w:rsidR="000578F2">
        <w:rPr>
          <w:rFonts w:ascii="Verdana" w:hAnsi="Verdana"/>
          <w:bCs/>
          <w:sz w:val="20"/>
          <w:szCs w:val="20"/>
          <w:lang w:val="en-GB"/>
        </w:rPr>
        <w:t>MCCPs</w:t>
      </w:r>
      <w:r>
        <w:rPr>
          <w:rFonts w:ascii="Verdana" w:hAnsi="Verdana"/>
          <w:bCs/>
          <w:sz w:val="20"/>
          <w:szCs w:val="20"/>
          <w:lang w:val="en-GB"/>
        </w:rPr>
        <w:t xml:space="preserve"> meets the Annex XIII criteria.</w:t>
      </w:r>
      <w:r w:rsidR="00EB5C5E" w:rsidRPr="00EB5C5E">
        <w:rPr>
          <w:rFonts w:ascii="Verdana" w:hAnsi="Verdana"/>
          <w:bCs/>
          <w:sz w:val="20"/>
          <w:szCs w:val="20"/>
          <w:lang w:val="en-GB"/>
        </w:rPr>
        <w:t xml:space="preserve"> </w:t>
      </w:r>
      <w:r w:rsidR="00123BFD">
        <w:rPr>
          <w:rFonts w:ascii="Verdana" w:hAnsi="Verdana"/>
          <w:bCs/>
          <w:sz w:val="20"/>
          <w:szCs w:val="20"/>
          <w:lang w:val="en-GB"/>
        </w:rPr>
        <w:t xml:space="preserve">The occupational controls and risk management measures identified in the lead </w:t>
      </w:r>
      <w:r>
        <w:rPr>
          <w:rFonts w:ascii="Verdana" w:hAnsi="Verdana"/>
          <w:bCs/>
          <w:sz w:val="20"/>
          <w:szCs w:val="20"/>
          <w:lang w:val="en-GB"/>
        </w:rPr>
        <w:t>Registrant</w:t>
      </w:r>
      <w:r w:rsidR="00123BFD">
        <w:rPr>
          <w:rFonts w:ascii="Verdana" w:hAnsi="Verdana"/>
          <w:bCs/>
          <w:sz w:val="20"/>
          <w:szCs w:val="20"/>
          <w:lang w:val="en-GB"/>
        </w:rPr>
        <w:t>’s CSR are summarised in</w:t>
      </w:r>
      <w:r w:rsidR="00F123FD">
        <w:rPr>
          <w:rFonts w:ascii="Verdana" w:hAnsi="Verdana"/>
          <w:bCs/>
          <w:sz w:val="20"/>
          <w:szCs w:val="20"/>
          <w:lang w:val="en-GB"/>
        </w:rPr>
        <w:t xml:space="preserve"> </w:t>
      </w:r>
      <w:r w:rsidR="00F123FD">
        <w:rPr>
          <w:rFonts w:ascii="Verdana" w:hAnsi="Verdana"/>
          <w:bCs/>
          <w:sz w:val="20"/>
          <w:szCs w:val="20"/>
          <w:lang w:val="en-GB"/>
        </w:rPr>
        <w:fldChar w:fldCharType="begin"/>
      </w:r>
      <w:r w:rsidR="00F123FD">
        <w:rPr>
          <w:rFonts w:ascii="Verdana" w:hAnsi="Verdana"/>
          <w:bCs/>
          <w:sz w:val="20"/>
          <w:szCs w:val="20"/>
          <w:lang w:val="en-GB"/>
        </w:rPr>
        <w:instrText xml:space="preserve"> REF _Ref24112833 \h </w:instrText>
      </w:r>
      <w:r w:rsidR="00F123FD">
        <w:rPr>
          <w:rFonts w:ascii="Verdana" w:hAnsi="Verdana"/>
          <w:bCs/>
          <w:sz w:val="20"/>
          <w:szCs w:val="20"/>
          <w:lang w:val="en-GB"/>
        </w:rPr>
      </w:r>
      <w:r w:rsidR="00F123FD">
        <w:rPr>
          <w:rFonts w:ascii="Verdana" w:hAnsi="Verdana"/>
          <w:bCs/>
          <w:sz w:val="20"/>
          <w:szCs w:val="20"/>
          <w:lang w:val="en-GB"/>
        </w:rPr>
        <w:fldChar w:fldCharType="separate"/>
      </w:r>
      <w:r w:rsidR="00F123FD" w:rsidRPr="009A50EF">
        <w:rPr>
          <w:rFonts w:ascii="Verdana" w:hAnsi="Verdana"/>
          <w:b/>
          <w:sz w:val="20"/>
          <w:szCs w:val="20"/>
        </w:rPr>
        <w:t xml:space="preserve">Table </w:t>
      </w:r>
      <w:r w:rsidR="00F123FD" w:rsidRPr="009A50EF">
        <w:rPr>
          <w:rFonts w:ascii="Verdana" w:hAnsi="Verdana"/>
          <w:b/>
          <w:noProof/>
          <w:sz w:val="20"/>
          <w:szCs w:val="20"/>
        </w:rPr>
        <w:t>13</w:t>
      </w:r>
      <w:r w:rsidR="00F123FD">
        <w:rPr>
          <w:rFonts w:ascii="Verdana" w:hAnsi="Verdana"/>
          <w:bCs/>
          <w:sz w:val="20"/>
          <w:szCs w:val="20"/>
          <w:lang w:val="en-GB"/>
        </w:rPr>
        <w:fldChar w:fldCharType="end"/>
      </w:r>
      <w:r w:rsidR="00123BFD">
        <w:rPr>
          <w:rFonts w:ascii="Verdana" w:hAnsi="Verdana"/>
          <w:bCs/>
          <w:sz w:val="20"/>
          <w:szCs w:val="20"/>
          <w:lang w:val="en-GB"/>
        </w:rPr>
        <w:t>.</w:t>
      </w:r>
    </w:p>
    <w:p w14:paraId="6ECCAEBF" w14:textId="77777777" w:rsidR="00CE3AA0" w:rsidRDefault="00CE3AA0" w:rsidP="00123BFD">
      <w:pPr>
        <w:keepNext/>
        <w:spacing w:before="120" w:after="90"/>
        <w:jc w:val="both"/>
        <w:rPr>
          <w:rFonts w:ascii="Verdana" w:hAnsi="Verdana"/>
          <w:b/>
          <w:bCs/>
          <w:sz w:val="20"/>
          <w:szCs w:val="20"/>
          <w:lang w:val="en-GB"/>
        </w:rPr>
      </w:pPr>
    </w:p>
    <w:p w14:paraId="3420CDA1" w14:textId="4DF7478F" w:rsidR="00123BFD" w:rsidRPr="00123BFD" w:rsidRDefault="00F123FD" w:rsidP="009A50EF">
      <w:pPr>
        <w:pStyle w:val="Caption"/>
        <w:rPr>
          <w:rFonts w:ascii="Verdana" w:hAnsi="Verdana"/>
          <w:b/>
          <w:sz w:val="20"/>
        </w:rPr>
      </w:pPr>
      <w:bookmarkStart w:id="37" w:name="_Ref24112833"/>
      <w:r w:rsidRPr="009A50EF">
        <w:rPr>
          <w:rFonts w:ascii="Verdana" w:hAnsi="Verdana"/>
          <w:b/>
          <w:sz w:val="20"/>
        </w:rPr>
        <w:t xml:space="preserve">Table </w:t>
      </w:r>
      <w:r w:rsidRPr="009A50EF">
        <w:rPr>
          <w:rFonts w:ascii="Verdana" w:hAnsi="Verdana"/>
          <w:b/>
          <w:sz w:val="20"/>
        </w:rPr>
        <w:fldChar w:fldCharType="begin"/>
      </w:r>
      <w:r w:rsidRPr="009A50EF">
        <w:rPr>
          <w:rFonts w:ascii="Verdana" w:hAnsi="Verdana"/>
          <w:b/>
          <w:sz w:val="20"/>
        </w:rPr>
        <w:instrText xml:space="preserve"> SEQ Table \* ARABIC </w:instrText>
      </w:r>
      <w:r w:rsidRPr="009A50EF">
        <w:rPr>
          <w:rFonts w:ascii="Verdana" w:hAnsi="Verdana"/>
          <w:b/>
          <w:sz w:val="20"/>
        </w:rPr>
        <w:fldChar w:fldCharType="separate"/>
      </w:r>
      <w:r w:rsidR="005C355A">
        <w:rPr>
          <w:rFonts w:ascii="Verdana" w:hAnsi="Verdana"/>
          <w:b/>
          <w:noProof/>
          <w:sz w:val="20"/>
        </w:rPr>
        <w:t>13</w:t>
      </w:r>
      <w:r w:rsidRPr="009A50EF">
        <w:rPr>
          <w:rFonts w:ascii="Verdana" w:hAnsi="Verdana"/>
          <w:b/>
          <w:sz w:val="20"/>
        </w:rPr>
        <w:fldChar w:fldCharType="end"/>
      </w:r>
      <w:bookmarkEnd w:id="37"/>
      <w:r w:rsidR="00123BFD" w:rsidRPr="00123BFD">
        <w:rPr>
          <w:rFonts w:ascii="Verdana" w:hAnsi="Verdana"/>
          <w:b/>
          <w:bCs w:val="0"/>
          <w:sz w:val="20"/>
        </w:rPr>
        <w:t xml:space="preserve">: </w:t>
      </w:r>
      <w:r w:rsidR="00D53BEE">
        <w:rPr>
          <w:rFonts w:ascii="Verdana" w:hAnsi="Verdana"/>
          <w:b/>
          <w:bCs w:val="0"/>
          <w:sz w:val="20"/>
        </w:rPr>
        <w:t>Environmental r</w:t>
      </w:r>
      <w:r w:rsidR="00123BFD">
        <w:rPr>
          <w:rFonts w:ascii="Verdana" w:hAnsi="Verdana"/>
          <w:b/>
          <w:bCs w:val="0"/>
          <w:sz w:val="20"/>
        </w:rPr>
        <w:t xml:space="preserve">isk management measures for </w:t>
      </w:r>
      <w:r w:rsidR="000578F2">
        <w:rPr>
          <w:rFonts w:ascii="Verdana" w:hAnsi="Verdana"/>
          <w:b/>
          <w:bCs w:val="0"/>
          <w:sz w:val="20"/>
        </w:rPr>
        <w:t>MCCPs</w:t>
      </w:r>
    </w:p>
    <w:tbl>
      <w:tblPr>
        <w:tblW w:w="818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4536"/>
      </w:tblGrid>
      <w:tr w:rsidR="00D53BEE" w:rsidRPr="00E234D7" w14:paraId="492BCD08" w14:textId="77777777" w:rsidTr="00D35A5A">
        <w:trPr>
          <w:tblHeader/>
        </w:trPr>
        <w:tc>
          <w:tcPr>
            <w:tcW w:w="2376" w:type="dxa"/>
            <w:shd w:val="clear" w:color="auto" w:fill="auto"/>
          </w:tcPr>
          <w:p w14:paraId="1B9FC381" w14:textId="3C09F4F0" w:rsidR="00D53BEE" w:rsidRPr="00E234D7" w:rsidRDefault="00D53BEE" w:rsidP="001249F9">
            <w:pPr>
              <w:pStyle w:val="ListParagraph"/>
              <w:ind w:left="360"/>
              <w:rPr>
                <w:rFonts w:ascii="Verdana" w:hAnsi="Verdana"/>
                <w:b/>
                <w:sz w:val="20"/>
                <w:szCs w:val="20"/>
              </w:rPr>
            </w:pPr>
            <w:r w:rsidRPr="00E234D7">
              <w:rPr>
                <w:rFonts w:ascii="Verdana" w:hAnsi="Verdana"/>
                <w:b/>
                <w:sz w:val="20"/>
                <w:szCs w:val="20"/>
              </w:rPr>
              <w:t>Use/category</w:t>
            </w:r>
          </w:p>
        </w:tc>
        <w:tc>
          <w:tcPr>
            <w:tcW w:w="1276" w:type="dxa"/>
          </w:tcPr>
          <w:p w14:paraId="152E5C00" w14:textId="1A29D36B" w:rsidR="00D53BEE" w:rsidRPr="00E234D7" w:rsidRDefault="00D53BEE" w:rsidP="001249F9">
            <w:pPr>
              <w:jc w:val="center"/>
              <w:rPr>
                <w:rFonts w:ascii="Verdana" w:hAnsi="Verdana"/>
                <w:b/>
                <w:sz w:val="20"/>
                <w:szCs w:val="20"/>
              </w:rPr>
            </w:pPr>
            <w:r w:rsidRPr="00E234D7">
              <w:rPr>
                <w:rFonts w:ascii="Verdana" w:hAnsi="Verdana"/>
                <w:b/>
                <w:sz w:val="20"/>
                <w:szCs w:val="20"/>
              </w:rPr>
              <w:t>Exposure scenario</w:t>
            </w:r>
          </w:p>
        </w:tc>
        <w:tc>
          <w:tcPr>
            <w:tcW w:w="4536" w:type="dxa"/>
            <w:shd w:val="clear" w:color="auto" w:fill="auto"/>
          </w:tcPr>
          <w:p w14:paraId="593108CF" w14:textId="561C8B31" w:rsidR="00D53BEE" w:rsidRPr="00E234D7" w:rsidRDefault="00897BB0" w:rsidP="00897BB0">
            <w:pPr>
              <w:jc w:val="center"/>
              <w:rPr>
                <w:rFonts w:ascii="Verdana" w:hAnsi="Verdana"/>
                <w:b/>
                <w:sz w:val="20"/>
                <w:szCs w:val="20"/>
              </w:rPr>
            </w:pPr>
            <w:r w:rsidRPr="00E234D7">
              <w:rPr>
                <w:rFonts w:ascii="Verdana" w:hAnsi="Verdana"/>
                <w:b/>
                <w:sz w:val="20"/>
                <w:szCs w:val="20"/>
              </w:rPr>
              <w:t>Operational conditions  and risk management measures</w:t>
            </w:r>
          </w:p>
        </w:tc>
      </w:tr>
      <w:tr w:rsidR="00D53BEE" w:rsidRPr="00376715" w14:paraId="62AA2161" w14:textId="77777777" w:rsidTr="00D35A5A">
        <w:tc>
          <w:tcPr>
            <w:tcW w:w="2376" w:type="dxa"/>
            <w:shd w:val="clear" w:color="auto" w:fill="auto"/>
          </w:tcPr>
          <w:p w14:paraId="306591F6" w14:textId="63B1220B" w:rsidR="00D53BEE" w:rsidRPr="00376715" w:rsidRDefault="000578F2" w:rsidP="001249F9">
            <w:pPr>
              <w:rPr>
                <w:rFonts w:ascii="Verdana" w:hAnsi="Verdana"/>
                <w:sz w:val="20"/>
                <w:szCs w:val="20"/>
              </w:rPr>
            </w:pPr>
            <w:r>
              <w:rPr>
                <w:rFonts w:ascii="Verdana" w:hAnsi="Verdana"/>
                <w:sz w:val="20"/>
                <w:szCs w:val="20"/>
              </w:rPr>
              <w:t>MCCPs</w:t>
            </w:r>
            <w:r w:rsidR="00607BBD">
              <w:rPr>
                <w:rFonts w:ascii="Verdana" w:hAnsi="Verdana"/>
                <w:sz w:val="20"/>
                <w:szCs w:val="20"/>
              </w:rPr>
              <w:t xml:space="preserve"> </w:t>
            </w:r>
            <w:r w:rsidR="00D53BEE">
              <w:rPr>
                <w:rFonts w:ascii="Verdana" w:hAnsi="Verdana"/>
                <w:sz w:val="20"/>
                <w:szCs w:val="20"/>
              </w:rPr>
              <w:t>manufacture</w:t>
            </w:r>
          </w:p>
        </w:tc>
        <w:tc>
          <w:tcPr>
            <w:tcW w:w="1276" w:type="dxa"/>
          </w:tcPr>
          <w:p w14:paraId="53F056D7" w14:textId="32661259" w:rsidR="00D53BEE" w:rsidRPr="00376715" w:rsidRDefault="00D53BEE" w:rsidP="001249F9">
            <w:pPr>
              <w:rPr>
                <w:rFonts w:ascii="Verdana" w:hAnsi="Verdana"/>
                <w:sz w:val="20"/>
                <w:szCs w:val="20"/>
              </w:rPr>
            </w:pPr>
            <w:r>
              <w:rPr>
                <w:rFonts w:ascii="Verdana" w:hAnsi="Verdana"/>
                <w:sz w:val="20"/>
                <w:szCs w:val="20"/>
              </w:rPr>
              <w:t>ES1</w:t>
            </w:r>
          </w:p>
        </w:tc>
        <w:tc>
          <w:tcPr>
            <w:tcW w:w="4536" w:type="dxa"/>
            <w:shd w:val="clear" w:color="auto" w:fill="auto"/>
          </w:tcPr>
          <w:p w14:paraId="57274997" w14:textId="1D73FF14" w:rsidR="00CE3AA0" w:rsidRDefault="00CE3AA0" w:rsidP="001249F9">
            <w:pPr>
              <w:rPr>
                <w:rFonts w:ascii="Verdana" w:hAnsi="Verdana"/>
                <w:sz w:val="20"/>
                <w:szCs w:val="20"/>
              </w:rPr>
            </w:pPr>
            <w:r w:rsidRPr="00CE3AA0">
              <w:rPr>
                <w:rFonts w:ascii="Verdana" w:hAnsi="Verdana"/>
                <w:sz w:val="20"/>
                <w:szCs w:val="20"/>
              </w:rPr>
              <w:t xml:space="preserve">Manufacture of </w:t>
            </w:r>
            <w:r w:rsidR="000578F2">
              <w:rPr>
                <w:rFonts w:ascii="Verdana" w:hAnsi="Verdana"/>
                <w:sz w:val="20"/>
                <w:szCs w:val="20"/>
              </w:rPr>
              <w:t>MCCPs</w:t>
            </w:r>
            <w:r w:rsidRPr="00CE3AA0">
              <w:rPr>
                <w:rFonts w:ascii="Verdana" w:hAnsi="Verdana"/>
                <w:sz w:val="20"/>
                <w:szCs w:val="20"/>
              </w:rPr>
              <w:t xml:space="preserve"> within closed or contained systems consisting of a stirred reactor with the addition of chlorine gas at a temperature of 80 to 100</w:t>
            </w:r>
            <w:r w:rsidR="00622924">
              <w:rPr>
                <w:rFonts w:ascii="Verdana" w:hAnsi="Verdana"/>
                <w:sz w:val="20"/>
                <w:szCs w:val="20"/>
              </w:rPr>
              <w:t xml:space="preserve"> °</w:t>
            </w:r>
            <w:r w:rsidRPr="00CE3AA0">
              <w:rPr>
                <w:rFonts w:ascii="Verdana" w:hAnsi="Verdana"/>
                <w:sz w:val="20"/>
                <w:szCs w:val="20"/>
              </w:rPr>
              <w:t>C.</w:t>
            </w:r>
          </w:p>
          <w:p w14:paraId="740292AD" w14:textId="77777777" w:rsidR="00C0290C" w:rsidRDefault="00897BB0" w:rsidP="001249F9">
            <w:pPr>
              <w:rPr>
                <w:rFonts w:ascii="Verdana" w:hAnsi="Verdana"/>
                <w:sz w:val="20"/>
                <w:szCs w:val="20"/>
              </w:rPr>
            </w:pPr>
            <w:r>
              <w:rPr>
                <w:rFonts w:ascii="Verdana" w:hAnsi="Verdana"/>
                <w:sz w:val="20"/>
                <w:szCs w:val="20"/>
              </w:rPr>
              <w:t xml:space="preserve">Closed system; no direct releases to air or water. </w:t>
            </w:r>
          </w:p>
          <w:p w14:paraId="2A129554" w14:textId="453270AE" w:rsidR="00C0290C" w:rsidRDefault="00C0290C" w:rsidP="001249F9">
            <w:pPr>
              <w:rPr>
                <w:rFonts w:ascii="Verdana" w:hAnsi="Verdana"/>
                <w:sz w:val="20"/>
                <w:szCs w:val="20"/>
              </w:rPr>
            </w:pPr>
            <w:r>
              <w:rPr>
                <w:rFonts w:ascii="Verdana" w:hAnsi="Verdana"/>
                <w:sz w:val="20"/>
                <w:szCs w:val="20"/>
              </w:rPr>
              <w:t>Manufacture i</w:t>
            </w:r>
            <w:r w:rsidR="00897BB0">
              <w:rPr>
                <w:rFonts w:ascii="Verdana" w:hAnsi="Verdana"/>
                <w:sz w:val="20"/>
                <w:szCs w:val="20"/>
              </w:rPr>
              <w:t>n accordance with B</w:t>
            </w:r>
            <w:r w:rsidR="00E4400E">
              <w:rPr>
                <w:rFonts w:ascii="Verdana" w:hAnsi="Verdana"/>
                <w:sz w:val="20"/>
                <w:szCs w:val="20"/>
              </w:rPr>
              <w:t xml:space="preserve">est </w:t>
            </w:r>
            <w:r w:rsidR="00897BB0">
              <w:rPr>
                <w:rFonts w:ascii="Verdana" w:hAnsi="Verdana"/>
                <w:sz w:val="20"/>
                <w:szCs w:val="20"/>
              </w:rPr>
              <w:t>A</w:t>
            </w:r>
            <w:r w:rsidR="00E4400E">
              <w:rPr>
                <w:rFonts w:ascii="Verdana" w:hAnsi="Verdana"/>
                <w:sz w:val="20"/>
                <w:szCs w:val="20"/>
              </w:rPr>
              <w:t xml:space="preserve">vailable </w:t>
            </w:r>
            <w:r w:rsidR="00897BB0">
              <w:rPr>
                <w:rFonts w:ascii="Verdana" w:hAnsi="Verdana"/>
                <w:sz w:val="20"/>
                <w:szCs w:val="20"/>
              </w:rPr>
              <w:t>T</w:t>
            </w:r>
            <w:r w:rsidR="00E4400E">
              <w:rPr>
                <w:rFonts w:ascii="Verdana" w:hAnsi="Verdana"/>
                <w:sz w:val="20"/>
                <w:szCs w:val="20"/>
              </w:rPr>
              <w:t>echniques</w:t>
            </w:r>
            <w:r w:rsidR="00897BB0">
              <w:rPr>
                <w:rFonts w:ascii="Verdana" w:hAnsi="Verdana"/>
                <w:sz w:val="20"/>
                <w:szCs w:val="20"/>
              </w:rPr>
              <w:t xml:space="preserve"> for organic fine chemicals manufacture.</w:t>
            </w:r>
          </w:p>
          <w:p w14:paraId="36EE11A9" w14:textId="24C9CAA8" w:rsidR="00D53BEE" w:rsidRDefault="00C0290C" w:rsidP="001249F9">
            <w:pPr>
              <w:rPr>
                <w:rFonts w:ascii="Verdana" w:hAnsi="Verdana"/>
                <w:sz w:val="20"/>
                <w:szCs w:val="20"/>
              </w:rPr>
            </w:pPr>
            <w:r>
              <w:rPr>
                <w:rFonts w:ascii="Verdana" w:hAnsi="Verdana"/>
                <w:sz w:val="20"/>
                <w:szCs w:val="20"/>
              </w:rPr>
              <w:t>Wastewater treatment with 97.1% removal from aqueous stream.</w:t>
            </w:r>
          </w:p>
          <w:p w14:paraId="3E01DD06" w14:textId="004073AE" w:rsidR="00C0290C" w:rsidRPr="00C0290C" w:rsidRDefault="00C0290C" w:rsidP="00C0290C">
            <w:pPr>
              <w:rPr>
                <w:rFonts w:ascii="Verdana" w:hAnsi="Verdana"/>
                <w:sz w:val="20"/>
                <w:szCs w:val="20"/>
              </w:rPr>
            </w:pPr>
            <w:r w:rsidRPr="00C0290C">
              <w:rPr>
                <w:rFonts w:ascii="Verdana" w:hAnsi="Verdana"/>
                <w:sz w:val="20"/>
                <w:szCs w:val="20"/>
              </w:rPr>
              <w:lastRenderedPageBreak/>
              <w:t>Closed sinks/basins to prevent discharge to waste- and/or surface water</w:t>
            </w:r>
          </w:p>
          <w:p w14:paraId="7B0B2BD1" w14:textId="77777777" w:rsidR="00C0290C" w:rsidRDefault="00C0290C" w:rsidP="00C0290C">
            <w:r w:rsidRPr="00C0290C">
              <w:rPr>
                <w:rFonts w:ascii="Verdana" w:hAnsi="Verdana"/>
                <w:sz w:val="20"/>
                <w:szCs w:val="20"/>
              </w:rPr>
              <w:t>General good hygiene and housekeeping</w:t>
            </w:r>
            <w:r>
              <w:rPr>
                <w:rFonts w:ascii="Verdana" w:hAnsi="Verdana"/>
                <w:sz w:val="20"/>
                <w:szCs w:val="20"/>
              </w:rPr>
              <w:t>.</w:t>
            </w:r>
            <w:r>
              <w:t xml:space="preserve"> </w:t>
            </w:r>
          </w:p>
          <w:p w14:paraId="049EFF05" w14:textId="6F346651" w:rsidR="00C0290C" w:rsidRPr="00376715" w:rsidRDefault="00C0290C" w:rsidP="00AF3CB0">
            <w:pPr>
              <w:rPr>
                <w:rFonts w:ascii="Verdana" w:hAnsi="Verdana"/>
                <w:sz w:val="20"/>
                <w:szCs w:val="20"/>
              </w:rPr>
            </w:pPr>
            <w:r w:rsidRPr="00C0290C">
              <w:rPr>
                <w:rFonts w:ascii="Verdana" w:hAnsi="Verdana"/>
                <w:sz w:val="20"/>
                <w:szCs w:val="20"/>
              </w:rPr>
              <w:t>Sewage sludge from S</w:t>
            </w:r>
            <w:r w:rsidR="00E4400E">
              <w:rPr>
                <w:rFonts w:ascii="Verdana" w:hAnsi="Verdana"/>
                <w:sz w:val="20"/>
                <w:szCs w:val="20"/>
              </w:rPr>
              <w:t xml:space="preserve">ewage </w:t>
            </w:r>
            <w:r w:rsidRPr="00C0290C">
              <w:rPr>
                <w:rFonts w:ascii="Verdana" w:hAnsi="Verdana"/>
                <w:sz w:val="20"/>
                <w:szCs w:val="20"/>
              </w:rPr>
              <w:t>T</w:t>
            </w:r>
            <w:r w:rsidR="00E4400E">
              <w:rPr>
                <w:rFonts w:ascii="Verdana" w:hAnsi="Verdana"/>
                <w:sz w:val="20"/>
                <w:szCs w:val="20"/>
              </w:rPr>
              <w:t xml:space="preserve">reatment </w:t>
            </w:r>
            <w:r w:rsidRPr="00C0290C">
              <w:rPr>
                <w:rFonts w:ascii="Verdana" w:hAnsi="Verdana"/>
                <w:sz w:val="20"/>
                <w:szCs w:val="20"/>
              </w:rPr>
              <w:t>P</w:t>
            </w:r>
            <w:r w:rsidR="00E4400E">
              <w:rPr>
                <w:rFonts w:ascii="Verdana" w:hAnsi="Verdana"/>
                <w:sz w:val="20"/>
                <w:szCs w:val="20"/>
              </w:rPr>
              <w:t>lants</w:t>
            </w:r>
            <w:r w:rsidRPr="00C0290C">
              <w:rPr>
                <w:rFonts w:ascii="Verdana" w:hAnsi="Verdana"/>
                <w:sz w:val="20"/>
                <w:szCs w:val="20"/>
              </w:rPr>
              <w:t xml:space="preserve"> receiving waste from </w:t>
            </w:r>
            <w:r w:rsidR="000578F2">
              <w:rPr>
                <w:rFonts w:ascii="Verdana" w:hAnsi="Verdana"/>
                <w:sz w:val="20"/>
                <w:szCs w:val="20"/>
              </w:rPr>
              <w:t>MCCPs</w:t>
            </w:r>
            <w:r w:rsidR="00607BBD">
              <w:rPr>
                <w:rFonts w:ascii="Verdana" w:hAnsi="Verdana"/>
                <w:sz w:val="20"/>
                <w:szCs w:val="20"/>
              </w:rPr>
              <w:t xml:space="preserve"> </w:t>
            </w:r>
            <w:r w:rsidRPr="00C0290C">
              <w:rPr>
                <w:rFonts w:ascii="Verdana" w:hAnsi="Verdana"/>
                <w:sz w:val="20"/>
                <w:szCs w:val="20"/>
              </w:rPr>
              <w:t>production sites shall not be applied to soil.</w:t>
            </w:r>
          </w:p>
        </w:tc>
      </w:tr>
      <w:tr w:rsidR="00D53BEE" w:rsidRPr="00376715" w14:paraId="6805318A" w14:textId="77777777" w:rsidTr="00D35A5A">
        <w:tc>
          <w:tcPr>
            <w:tcW w:w="2376" w:type="dxa"/>
            <w:shd w:val="clear" w:color="auto" w:fill="auto"/>
          </w:tcPr>
          <w:p w14:paraId="33CF79C7" w14:textId="1E598E10" w:rsidR="00D53BEE" w:rsidRPr="00376715" w:rsidRDefault="00D53BEE" w:rsidP="001249F9">
            <w:pPr>
              <w:rPr>
                <w:rFonts w:ascii="Verdana" w:hAnsi="Verdana"/>
                <w:sz w:val="20"/>
                <w:szCs w:val="20"/>
              </w:rPr>
            </w:pPr>
            <w:r>
              <w:rPr>
                <w:rFonts w:ascii="Verdana" w:hAnsi="Verdana"/>
                <w:sz w:val="20"/>
                <w:szCs w:val="20"/>
              </w:rPr>
              <w:lastRenderedPageBreak/>
              <w:t>PVC/rubber formulation</w:t>
            </w:r>
          </w:p>
        </w:tc>
        <w:tc>
          <w:tcPr>
            <w:tcW w:w="1276" w:type="dxa"/>
          </w:tcPr>
          <w:p w14:paraId="2DFF94CD" w14:textId="10DABBF9" w:rsidR="00D53BEE" w:rsidRPr="00376715" w:rsidRDefault="00D53BEE" w:rsidP="001249F9">
            <w:pPr>
              <w:rPr>
                <w:rFonts w:ascii="Verdana" w:hAnsi="Verdana"/>
                <w:sz w:val="20"/>
                <w:szCs w:val="20"/>
              </w:rPr>
            </w:pPr>
            <w:r>
              <w:rPr>
                <w:rFonts w:ascii="Verdana" w:hAnsi="Verdana"/>
                <w:sz w:val="20"/>
                <w:szCs w:val="20"/>
              </w:rPr>
              <w:t>ES2</w:t>
            </w:r>
          </w:p>
        </w:tc>
        <w:tc>
          <w:tcPr>
            <w:tcW w:w="4536" w:type="dxa"/>
            <w:shd w:val="clear" w:color="auto" w:fill="auto"/>
          </w:tcPr>
          <w:p w14:paraId="52F77C6A" w14:textId="48FB278E" w:rsidR="00CE3AA0" w:rsidRDefault="00CE3AA0" w:rsidP="001249F9">
            <w:pPr>
              <w:rPr>
                <w:rFonts w:ascii="Verdana" w:hAnsi="Verdana"/>
                <w:sz w:val="20"/>
                <w:szCs w:val="20"/>
              </w:rPr>
            </w:pPr>
            <w:r w:rsidRPr="00CE3AA0">
              <w:rPr>
                <w:rFonts w:ascii="Verdana" w:hAnsi="Verdana"/>
                <w:sz w:val="20"/>
                <w:szCs w:val="20"/>
              </w:rPr>
              <w:t xml:space="preserve">Compounding of </w:t>
            </w:r>
            <w:r w:rsidR="000578F2">
              <w:rPr>
                <w:rFonts w:ascii="Verdana" w:hAnsi="Verdana"/>
                <w:sz w:val="20"/>
                <w:szCs w:val="20"/>
              </w:rPr>
              <w:t>MCCPs</w:t>
            </w:r>
            <w:r w:rsidRPr="00CE3AA0">
              <w:rPr>
                <w:rFonts w:ascii="Verdana" w:hAnsi="Verdana"/>
                <w:sz w:val="20"/>
                <w:szCs w:val="20"/>
              </w:rPr>
              <w:t xml:space="preserve"> by </w:t>
            </w:r>
            <w:proofErr w:type="spellStart"/>
            <w:r w:rsidRPr="00CE3AA0">
              <w:rPr>
                <w:rFonts w:ascii="Verdana" w:hAnsi="Verdana"/>
                <w:sz w:val="20"/>
                <w:szCs w:val="20"/>
              </w:rPr>
              <w:t>Banbury</w:t>
            </w:r>
            <w:proofErr w:type="spellEnd"/>
            <w:r w:rsidRPr="00CE3AA0">
              <w:rPr>
                <w:rFonts w:ascii="Verdana" w:hAnsi="Verdana"/>
                <w:sz w:val="20"/>
                <w:szCs w:val="20"/>
              </w:rPr>
              <w:t xml:space="preserve"> or dry blending at 100 to 140 </w:t>
            </w:r>
            <w:r w:rsidR="00E234D7">
              <w:rPr>
                <w:rFonts w:ascii="Verdana" w:hAnsi="Verdana"/>
                <w:sz w:val="20"/>
                <w:szCs w:val="20"/>
              </w:rPr>
              <w:t>°</w:t>
            </w:r>
            <w:r w:rsidRPr="00CE3AA0">
              <w:rPr>
                <w:rFonts w:ascii="Verdana" w:hAnsi="Verdana"/>
                <w:sz w:val="20"/>
                <w:szCs w:val="20"/>
              </w:rPr>
              <w:t>C or plastisol blending at ambient temperature.</w:t>
            </w:r>
          </w:p>
          <w:p w14:paraId="7E842AA5" w14:textId="77777777" w:rsidR="00D53BEE" w:rsidRDefault="00C0290C" w:rsidP="001249F9">
            <w:pPr>
              <w:rPr>
                <w:rFonts w:ascii="Verdana" w:hAnsi="Verdana"/>
                <w:sz w:val="20"/>
                <w:szCs w:val="20"/>
              </w:rPr>
            </w:pPr>
            <w:r w:rsidRPr="00C0290C">
              <w:rPr>
                <w:rFonts w:ascii="Verdana" w:hAnsi="Verdana"/>
                <w:sz w:val="20"/>
                <w:szCs w:val="20"/>
              </w:rPr>
              <w:t>Exhaust recovery and treatment by thermal or catalytic oxidation.</w:t>
            </w:r>
          </w:p>
          <w:p w14:paraId="67451043" w14:textId="77777777" w:rsidR="00C0290C" w:rsidRPr="00C0290C" w:rsidRDefault="00C0290C" w:rsidP="00C0290C">
            <w:pPr>
              <w:rPr>
                <w:rFonts w:ascii="Verdana" w:hAnsi="Verdana"/>
                <w:sz w:val="20"/>
                <w:szCs w:val="20"/>
              </w:rPr>
            </w:pPr>
            <w:r w:rsidRPr="00C0290C">
              <w:rPr>
                <w:rFonts w:ascii="Verdana" w:hAnsi="Verdana"/>
                <w:sz w:val="20"/>
                <w:szCs w:val="20"/>
              </w:rPr>
              <w:t>Wastewater treatment with 97.1% removal from aqueous stream.</w:t>
            </w:r>
          </w:p>
          <w:p w14:paraId="5F8DD8E4" w14:textId="7E78D032" w:rsidR="00C0290C" w:rsidRPr="00C0290C" w:rsidRDefault="00C0290C" w:rsidP="00C0290C">
            <w:pPr>
              <w:rPr>
                <w:rFonts w:ascii="Verdana" w:hAnsi="Verdana"/>
                <w:sz w:val="20"/>
                <w:szCs w:val="20"/>
              </w:rPr>
            </w:pPr>
            <w:r w:rsidRPr="00C0290C">
              <w:rPr>
                <w:rFonts w:ascii="Verdana" w:hAnsi="Verdana"/>
                <w:sz w:val="20"/>
                <w:szCs w:val="20"/>
              </w:rPr>
              <w:t>Closed sinks/basins to prevent discharge to waste- and/or surface water</w:t>
            </w:r>
          </w:p>
          <w:p w14:paraId="65ACE361" w14:textId="5FC69B03" w:rsidR="00C0290C" w:rsidRDefault="00C0290C" w:rsidP="00C0290C">
            <w:pPr>
              <w:rPr>
                <w:rFonts w:ascii="Verdana" w:hAnsi="Verdana"/>
                <w:sz w:val="20"/>
                <w:szCs w:val="20"/>
              </w:rPr>
            </w:pPr>
            <w:r w:rsidRPr="00C0290C">
              <w:rPr>
                <w:rFonts w:ascii="Verdana" w:hAnsi="Verdana"/>
                <w:sz w:val="20"/>
                <w:szCs w:val="20"/>
              </w:rPr>
              <w:t>General good hygiene and housekeeping.</w:t>
            </w:r>
          </w:p>
          <w:p w14:paraId="70D9A112" w14:textId="535423E8" w:rsidR="00C0290C" w:rsidRPr="00376715" w:rsidRDefault="00C0290C" w:rsidP="001249F9">
            <w:pPr>
              <w:rPr>
                <w:rFonts w:ascii="Verdana" w:hAnsi="Verdana"/>
                <w:sz w:val="20"/>
                <w:szCs w:val="20"/>
              </w:rPr>
            </w:pPr>
            <w:r w:rsidRPr="00C0290C">
              <w:rPr>
                <w:rFonts w:ascii="Verdana" w:hAnsi="Verdana"/>
                <w:sz w:val="20"/>
                <w:szCs w:val="20"/>
              </w:rPr>
              <w:t>Treatment of waste in accordance with the Reference Document on Best Available Techniques for Waste Treatment Industries (August, 2006).</w:t>
            </w:r>
          </w:p>
        </w:tc>
      </w:tr>
      <w:tr w:rsidR="00D53BEE" w:rsidRPr="00376715" w14:paraId="6BE63BDF" w14:textId="77777777" w:rsidTr="00D35A5A">
        <w:tc>
          <w:tcPr>
            <w:tcW w:w="2376" w:type="dxa"/>
            <w:shd w:val="clear" w:color="auto" w:fill="auto"/>
          </w:tcPr>
          <w:p w14:paraId="2A4A5AAB" w14:textId="4FDC4114" w:rsidR="00D53BEE" w:rsidRPr="00376715" w:rsidRDefault="00D53BEE" w:rsidP="00C0290C">
            <w:pPr>
              <w:rPr>
                <w:rFonts w:ascii="Verdana" w:hAnsi="Verdana"/>
                <w:sz w:val="20"/>
                <w:szCs w:val="20"/>
              </w:rPr>
            </w:pPr>
            <w:r>
              <w:rPr>
                <w:rFonts w:ascii="Verdana" w:hAnsi="Verdana"/>
                <w:sz w:val="20"/>
                <w:szCs w:val="20"/>
              </w:rPr>
              <w:t xml:space="preserve">PVC/rubber </w:t>
            </w:r>
            <w:r w:rsidR="00C0290C">
              <w:rPr>
                <w:rFonts w:ascii="Verdana" w:hAnsi="Verdana"/>
                <w:sz w:val="20"/>
                <w:szCs w:val="20"/>
              </w:rPr>
              <w:t>processing</w:t>
            </w:r>
          </w:p>
        </w:tc>
        <w:tc>
          <w:tcPr>
            <w:tcW w:w="1276" w:type="dxa"/>
          </w:tcPr>
          <w:p w14:paraId="28F5CA5A" w14:textId="3269F88E" w:rsidR="00D53BEE" w:rsidRPr="00376715" w:rsidRDefault="00D53BEE" w:rsidP="001249F9">
            <w:pPr>
              <w:rPr>
                <w:rFonts w:ascii="Verdana" w:hAnsi="Verdana"/>
                <w:sz w:val="20"/>
                <w:szCs w:val="20"/>
              </w:rPr>
            </w:pPr>
            <w:r>
              <w:rPr>
                <w:rFonts w:ascii="Verdana" w:hAnsi="Verdana"/>
                <w:sz w:val="20"/>
                <w:szCs w:val="20"/>
              </w:rPr>
              <w:t>ES3</w:t>
            </w:r>
          </w:p>
        </w:tc>
        <w:tc>
          <w:tcPr>
            <w:tcW w:w="4536" w:type="dxa"/>
            <w:shd w:val="clear" w:color="auto" w:fill="auto"/>
          </w:tcPr>
          <w:p w14:paraId="5CB6180A" w14:textId="747CF21B" w:rsidR="00CE3AA0" w:rsidRDefault="00CE3AA0" w:rsidP="001249F9">
            <w:pPr>
              <w:rPr>
                <w:rFonts w:ascii="Verdana" w:hAnsi="Verdana"/>
                <w:sz w:val="20"/>
                <w:szCs w:val="20"/>
              </w:rPr>
            </w:pPr>
            <w:r w:rsidRPr="00CE3AA0">
              <w:rPr>
                <w:rFonts w:ascii="Verdana" w:hAnsi="Verdana"/>
                <w:sz w:val="20"/>
                <w:szCs w:val="20"/>
              </w:rPr>
              <w:t>Conversion of PVC in open, partially open, or closed systems at elevated temperature.</w:t>
            </w:r>
          </w:p>
          <w:p w14:paraId="6A9B8911" w14:textId="2A7B3044" w:rsidR="00D53BEE" w:rsidRPr="00376715" w:rsidRDefault="00CE3AA0" w:rsidP="00CE3AA0">
            <w:pPr>
              <w:rPr>
                <w:rFonts w:ascii="Verdana" w:hAnsi="Verdana"/>
                <w:sz w:val="20"/>
                <w:szCs w:val="20"/>
              </w:rPr>
            </w:pPr>
            <w:r>
              <w:rPr>
                <w:rFonts w:ascii="Verdana" w:hAnsi="Verdana"/>
                <w:sz w:val="20"/>
                <w:szCs w:val="20"/>
              </w:rPr>
              <w:t>RMM a</w:t>
            </w:r>
            <w:r w:rsidR="00C0290C">
              <w:rPr>
                <w:rFonts w:ascii="Verdana" w:hAnsi="Verdana"/>
                <w:sz w:val="20"/>
                <w:szCs w:val="20"/>
              </w:rPr>
              <w:t>s for ES2</w:t>
            </w:r>
            <w:r>
              <w:rPr>
                <w:rFonts w:ascii="Verdana" w:hAnsi="Verdana"/>
                <w:sz w:val="20"/>
                <w:szCs w:val="20"/>
              </w:rPr>
              <w:t>.</w:t>
            </w:r>
          </w:p>
        </w:tc>
      </w:tr>
      <w:tr w:rsidR="00D53BEE" w:rsidRPr="00376715" w14:paraId="473D5906" w14:textId="77777777" w:rsidTr="00D35A5A">
        <w:tc>
          <w:tcPr>
            <w:tcW w:w="2376" w:type="dxa"/>
            <w:shd w:val="clear" w:color="auto" w:fill="auto"/>
          </w:tcPr>
          <w:p w14:paraId="1810E57F" w14:textId="1D4371C5" w:rsidR="00D53BEE" w:rsidRDefault="00D53BEE" w:rsidP="001249F9">
            <w:pPr>
              <w:rPr>
                <w:rFonts w:ascii="Verdana" w:hAnsi="Verdana"/>
                <w:sz w:val="20"/>
                <w:szCs w:val="20"/>
              </w:rPr>
            </w:pPr>
            <w:r>
              <w:rPr>
                <w:rFonts w:ascii="Verdana" w:hAnsi="Verdana"/>
                <w:sz w:val="20"/>
                <w:szCs w:val="20"/>
              </w:rPr>
              <w:t>PVC/rubber service life</w:t>
            </w:r>
          </w:p>
        </w:tc>
        <w:tc>
          <w:tcPr>
            <w:tcW w:w="1276" w:type="dxa"/>
          </w:tcPr>
          <w:p w14:paraId="5B40FA66" w14:textId="178D27FA" w:rsidR="00D53BEE" w:rsidRPr="00376715" w:rsidRDefault="00D53BEE" w:rsidP="001249F9">
            <w:pPr>
              <w:rPr>
                <w:rFonts w:ascii="Verdana" w:hAnsi="Verdana"/>
                <w:sz w:val="20"/>
                <w:szCs w:val="20"/>
              </w:rPr>
            </w:pPr>
            <w:r>
              <w:rPr>
                <w:rFonts w:ascii="Verdana" w:hAnsi="Verdana"/>
                <w:sz w:val="20"/>
                <w:szCs w:val="20"/>
              </w:rPr>
              <w:t>ES4</w:t>
            </w:r>
          </w:p>
        </w:tc>
        <w:tc>
          <w:tcPr>
            <w:tcW w:w="4536" w:type="dxa"/>
            <w:shd w:val="clear" w:color="auto" w:fill="auto"/>
          </w:tcPr>
          <w:p w14:paraId="6594B9BC" w14:textId="77777777" w:rsidR="00D53BEE" w:rsidRDefault="00AC2998" w:rsidP="001249F9">
            <w:pPr>
              <w:rPr>
                <w:rFonts w:ascii="Verdana" w:hAnsi="Verdana"/>
                <w:sz w:val="20"/>
                <w:szCs w:val="20"/>
              </w:rPr>
            </w:pPr>
            <w:r w:rsidRPr="00AC2998">
              <w:rPr>
                <w:rFonts w:ascii="Verdana" w:hAnsi="Verdana"/>
                <w:sz w:val="20"/>
                <w:szCs w:val="20"/>
              </w:rPr>
              <w:t>Wastewater treatment with 97.1% removal from aqueous stream.</w:t>
            </w:r>
          </w:p>
          <w:p w14:paraId="66D2FCE9" w14:textId="412874FE" w:rsidR="00AC2998" w:rsidRPr="00376715" w:rsidRDefault="00AC2998" w:rsidP="001249F9">
            <w:pPr>
              <w:rPr>
                <w:rFonts w:ascii="Verdana" w:hAnsi="Verdana"/>
                <w:sz w:val="20"/>
                <w:szCs w:val="20"/>
              </w:rPr>
            </w:pPr>
            <w:r w:rsidRPr="00AC2998">
              <w:rPr>
                <w:rFonts w:ascii="Verdana" w:hAnsi="Verdana"/>
                <w:sz w:val="20"/>
                <w:szCs w:val="20"/>
              </w:rPr>
              <w:t>Treatment of waste in accordance with the Reference Document on Best Available Techniques for Waste Treatment Industries (August, 2006).</w:t>
            </w:r>
          </w:p>
        </w:tc>
      </w:tr>
      <w:tr w:rsidR="00D53BEE" w:rsidRPr="00376715" w14:paraId="610821E1" w14:textId="77777777" w:rsidTr="00D35A5A">
        <w:tc>
          <w:tcPr>
            <w:tcW w:w="2376" w:type="dxa"/>
            <w:shd w:val="clear" w:color="auto" w:fill="auto"/>
          </w:tcPr>
          <w:p w14:paraId="7A93D87D" w14:textId="43F0289B" w:rsidR="00D53BEE" w:rsidRPr="00376715" w:rsidRDefault="00D53BEE" w:rsidP="001249F9">
            <w:pPr>
              <w:rPr>
                <w:rFonts w:ascii="Verdana" w:hAnsi="Verdana"/>
                <w:sz w:val="20"/>
                <w:szCs w:val="20"/>
              </w:rPr>
            </w:pPr>
            <w:r>
              <w:rPr>
                <w:rFonts w:ascii="Verdana" w:hAnsi="Verdana"/>
                <w:sz w:val="20"/>
                <w:szCs w:val="20"/>
              </w:rPr>
              <w:t>Adhesives/sealants formulation and use</w:t>
            </w:r>
          </w:p>
        </w:tc>
        <w:tc>
          <w:tcPr>
            <w:tcW w:w="1276" w:type="dxa"/>
          </w:tcPr>
          <w:p w14:paraId="2F35ACBB" w14:textId="3F706523" w:rsidR="00D53BEE" w:rsidRPr="00376715" w:rsidRDefault="00D53BEE" w:rsidP="001249F9">
            <w:pPr>
              <w:rPr>
                <w:rFonts w:ascii="Verdana" w:hAnsi="Verdana"/>
                <w:sz w:val="20"/>
                <w:szCs w:val="20"/>
              </w:rPr>
            </w:pPr>
            <w:r>
              <w:rPr>
                <w:rFonts w:ascii="Verdana" w:hAnsi="Verdana"/>
                <w:sz w:val="20"/>
                <w:szCs w:val="20"/>
              </w:rPr>
              <w:t>ES5</w:t>
            </w:r>
          </w:p>
        </w:tc>
        <w:tc>
          <w:tcPr>
            <w:tcW w:w="4536" w:type="dxa"/>
            <w:shd w:val="clear" w:color="auto" w:fill="auto"/>
          </w:tcPr>
          <w:p w14:paraId="5E4C60AC" w14:textId="7BD8055F" w:rsidR="00CE3AA0" w:rsidRDefault="00CE3AA0" w:rsidP="001249F9">
            <w:pPr>
              <w:rPr>
                <w:rFonts w:ascii="Verdana" w:hAnsi="Verdana"/>
                <w:sz w:val="20"/>
                <w:szCs w:val="20"/>
              </w:rPr>
            </w:pPr>
            <w:r w:rsidRPr="00CE3AA0">
              <w:rPr>
                <w:rFonts w:ascii="Verdana" w:hAnsi="Verdana"/>
                <w:sz w:val="20"/>
                <w:szCs w:val="20"/>
              </w:rPr>
              <w:t xml:space="preserve">Sealants and adhesives are formulated by mixing additives with a liquid viscous polymer. The process is conducted at approximately 40 </w:t>
            </w:r>
            <w:r w:rsidR="00E234D7">
              <w:rPr>
                <w:rFonts w:ascii="Verdana" w:hAnsi="Verdana"/>
                <w:sz w:val="20"/>
                <w:szCs w:val="20"/>
              </w:rPr>
              <w:t>°</w:t>
            </w:r>
            <w:r w:rsidRPr="00CE3AA0">
              <w:rPr>
                <w:rFonts w:ascii="Verdana" w:hAnsi="Verdana"/>
                <w:sz w:val="20"/>
                <w:szCs w:val="20"/>
              </w:rPr>
              <w:t>C and typically under vacuum. Solid waste is generated during cleaning between batches. Sealants and adhesives are applied at ambient temperature.</w:t>
            </w:r>
          </w:p>
          <w:p w14:paraId="4C1358A4" w14:textId="77777777" w:rsidR="00D53BEE" w:rsidRDefault="00AC2998" w:rsidP="001249F9">
            <w:pPr>
              <w:rPr>
                <w:rFonts w:ascii="Verdana" w:hAnsi="Verdana"/>
                <w:sz w:val="20"/>
                <w:szCs w:val="20"/>
              </w:rPr>
            </w:pPr>
            <w:r w:rsidRPr="00AC2998">
              <w:rPr>
                <w:rFonts w:ascii="Verdana" w:hAnsi="Verdana"/>
                <w:sz w:val="20"/>
                <w:szCs w:val="20"/>
              </w:rPr>
              <w:t>Collection of disposal of solid waste generated during cleaning in a permitted landfill.</w:t>
            </w:r>
          </w:p>
          <w:p w14:paraId="223ED6E3" w14:textId="29530D6B" w:rsidR="00AC2998" w:rsidRPr="00AC2998" w:rsidRDefault="00AC2998" w:rsidP="00AC2998">
            <w:pPr>
              <w:rPr>
                <w:rFonts w:ascii="Verdana" w:hAnsi="Verdana"/>
                <w:sz w:val="20"/>
                <w:szCs w:val="20"/>
              </w:rPr>
            </w:pPr>
            <w:r w:rsidRPr="00AC2998">
              <w:rPr>
                <w:rFonts w:ascii="Verdana" w:hAnsi="Verdana"/>
                <w:sz w:val="20"/>
                <w:szCs w:val="20"/>
              </w:rPr>
              <w:lastRenderedPageBreak/>
              <w:t>Closed sinks/basins to prevent discharge to waste- and/or surface water</w:t>
            </w:r>
          </w:p>
          <w:p w14:paraId="57E3B500" w14:textId="5FC68E37" w:rsidR="00AC2998" w:rsidRDefault="00AC2998" w:rsidP="00AC2998">
            <w:pPr>
              <w:rPr>
                <w:rFonts w:ascii="Verdana" w:hAnsi="Verdana"/>
                <w:sz w:val="20"/>
                <w:szCs w:val="20"/>
              </w:rPr>
            </w:pPr>
            <w:r w:rsidRPr="00AC2998">
              <w:rPr>
                <w:rFonts w:ascii="Verdana" w:hAnsi="Verdana"/>
                <w:sz w:val="20"/>
                <w:szCs w:val="20"/>
              </w:rPr>
              <w:t>General good hygiene and housekeeping.</w:t>
            </w:r>
          </w:p>
          <w:p w14:paraId="35BAF9A6" w14:textId="007F843F" w:rsidR="00AC2998" w:rsidRPr="00376715" w:rsidRDefault="00AC2998" w:rsidP="00AC2998">
            <w:pPr>
              <w:rPr>
                <w:rFonts w:ascii="Verdana" w:hAnsi="Verdana"/>
                <w:sz w:val="20"/>
                <w:szCs w:val="20"/>
              </w:rPr>
            </w:pPr>
            <w:r w:rsidRPr="00AC2998">
              <w:rPr>
                <w:rFonts w:ascii="Verdana" w:hAnsi="Verdana"/>
                <w:sz w:val="20"/>
                <w:szCs w:val="20"/>
              </w:rPr>
              <w:t>Treatment of waste in accordance with the Reference Document on Best Available Techniques for Waste Treatment Industries (August, 2006).</w:t>
            </w:r>
          </w:p>
        </w:tc>
      </w:tr>
      <w:tr w:rsidR="00D53BEE" w:rsidRPr="00376715" w14:paraId="75383A00" w14:textId="77777777" w:rsidTr="00D35A5A">
        <w:tc>
          <w:tcPr>
            <w:tcW w:w="2376" w:type="dxa"/>
            <w:shd w:val="clear" w:color="auto" w:fill="auto"/>
          </w:tcPr>
          <w:p w14:paraId="27582B9F" w14:textId="4E7C9824" w:rsidR="00D53BEE" w:rsidRDefault="00D53BEE" w:rsidP="00D53BEE">
            <w:pPr>
              <w:rPr>
                <w:rFonts w:ascii="Verdana" w:hAnsi="Verdana"/>
                <w:sz w:val="20"/>
                <w:szCs w:val="20"/>
              </w:rPr>
            </w:pPr>
            <w:r>
              <w:rPr>
                <w:rFonts w:ascii="Verdana" w:hAnsi="Verdana"/>
                <w:sz w:val="20"/>
                <w:szCs w:val="20"/>
              </w:rPr>
              <w:lastRenderedPageBreak/>
              <w:t>Adhesives/sealants outdoor service life</w:t>
            </w:r>
          </w:p>
        </w:tc>
        <w:tc>
          <w:tcPr>
            <w:tcW w:w="1276" w:type="dxa"/>
          </w:tcPr>
          <w:p w14:paraId="0D43A35E" w14:textId="1CE57E1D" w:rsidR="00D53BEE" w:rsidRPr="00376715" w:rsidRDefault="00D53BEE" w:rsidP="001249F9">
            <w:pPr>
              <w:rPr>
                <w:rFonts w:ascii="Verdana" w:hAnsi="Verdana"/>
                <w:sz w:val="20"/>
                <w:szCs w:val="20"/>
              </w:rPr>
            </w:pPr>
            <w:r>
              <w:rPr>
                <w:rFonts w:ascii="Verdana" w:hAnsi="Verdana"/>
                <w:sz w:val="20"/>
                <w:szCs w:val="20"/>
              </w:rPr>
              <w:t>ES6</w:t>
            </w:r>
          </w:p>
        </w:tc>
        <w:tc>
          <w:tcPr>
            <w:tcW w:w="4536" w:type="dxa"/>
            <w:shd w:val="clear" w:color="auto" w:fill="auto"/>
          </w:tcPr>
          <w:p w14:paraId="7C8E2BEE" w14:textId="639533BD" w:rsidR="00D53BEE" w:rsidRPr="00376715" w:rsidRDefault="00142B58" w:rsidP="00AC2998">
            <w:pPr>
              <w:rPr>
                <w:rFonts w:ascii="Verdana" w:hAnsi="Verdana"/>
                <w:sz w:val="20"/>
                <w:szCs w:val="20"/>
              </w:rPr>
            </w:pPr>
            <w:r>
              <w:rPr>
                <w:rFonts w:ascii="Verdana" w:hAnsi="Verdana"/>
                <w:sz w:val="20"/>
                <w:szCs w:val="20"/>
              </w:rPr>
              <w:t>As for ES4.</w:t>
            </w:r>
          </w:p>
        </w:tc>
      </w:tr>
      <w:tr w:rsidR="00385257" w:rsidRPr="00376715" w14:paraId="534688F4" w14:textId="77777777" w:rsidTr="00D35A5A">
        <w:tc>
          <w:tcPr>
            <w:tcW w:w="2376" w:type="dxa"/>
            <w:shd w:val="clear" w:color="auto" w:fill="auto"/>
          </w:tcPr>
          <w:p w14:paraId="7C0A2682" w14:textId="197B41C2" w:rsidR="00385257" w:rsidRDefault="00385257" w:rsidP="00385257">
            <w:pPr>
              <w:rPr>
                <w:rFonts w:ascii="Verdana" w:hAnsi="Verdana"/>
                <w:sz w:val="20"/>
                <w:szCs w:val="20"/>
              </w:rPr>
            </w:pPr>
            <w:r w:rsidRPr="00385257">
              <w:rPr>
                <w:rFonts w:ascii="Verdana" w:hAnsi="Verdana"/>
                <w:sz w:val="20"/>
                <w:szCs w:val="20"/>
              </w:rPr>
              <w:t xml:space="preserve">Adhesives/sealants </w:t>
            </w:r>
            <w:r>
              <w:rPr>
                <w:rFonts w:ascii="Verdana" w:hAnsi="Verdana"/>
                <w:sz w:val="20"/>
                <w:szCs w:val="20"/>
              </w:rPr>
              <w:t>in</w:t>
            </w:r>
            <w:r w:rsidRPr="00385257">
              <w:rPr>
                <w:rFonts w:ascii="Verdana" w:hAnsi="Verdana"/>
                <w:sz w:val="20"/>
                <w:szCs w:val="20"/>
              </w:rPr>
              <w:t>door service life</w:t>
            </w:r>
          </w:p>
        </w:tc>
        <w:tc>
          <w:tcPr>
            <w:tcW w:w="1276" w:type="dxa"/>
          </w:tcPr>
          <w:p w14:paraId="2C74477B" w14:textId="28967D41" w:rsidR="00385257" w:rsidRPr="00376715" w:rsidRDefault="00385257" w:rsidP="001249F9">
            <w:pPr>
              <w:rPr>
                <w:rFonts w:ascii="Verdana" w:hAnsi="Verdana"/>
                <w:sz w:val="20"/>
                <w:szCs w:val="20"/>
              </w:rPr>
            </w:pPr>
            <w:r>
              <w:rPr>
                <w:rFonts w:ascii="Verdana" w:hAnsi="Verdana"/>
                <w:sz w:val="20"/>
                <w:szCs w:val="20"/>
              </w:rPr>
              <w:t>ES7</w:t>
            </w:r>
          </w:p>
        </w:tc>
        <w:tc>
          <w:tcPr>
            <w:tcW w:w="4536" w:type="dxa"/>
            <w:shd w:val="clear" w:color="auto" w:fill="auto"/>
          </w:tcPr>
          <w:p w14:paraId="03E71613" w14:textId="15EDC933" w:rsidR="00385257" w:rsidRPr="00376715" w:rsidRDefault="00CE3AA0" w:rsidP="00AC2998">
            <w:pPr>
              <w:rPr>
                <w:rFonts w:ascii="Verdana" w:hAnsi="Verdana"/>
                <w:sz w:val="20"/>
                <w:szCs w:val="20"/>
              </w:rPr>
            </w:pPr>
            <w:r>
              <w:rPr>
                <w:rFonts w:ascii="Verdana" w:hAnsi="Verdana"/>
                <w:sz w:val="20"/>
                <w:szCs w:val="20"/>
              </w:rPr>
              <w:t>As for ES4.</w:t>
            </w:r>
          </w:p>
        </w:tc>
      </w:tr>
      <w:tr w:rsidR="00D53BEE" w:rsidRPr="00376715" w14:paraId="692E5EF4" w14:textId="77777777" w:rsidTr="00D35A5A">
        <w:tc>
          <w:tcPr>
            <w:tcW w:w="2376" w:type="dxa"/>
            <w:shd w:val="clear" w:color="auto" w:fill="auto"/>
          </w:tcPr>
          <w:p w14:paraId="7433B531" w14:textId="111A577A" w:rsidR="00D53BEE" w:rsidRDefault="00D53BEE" w:rsidP="001249F9">
            <w:pPr>
              <w:rPr>
                <w:rFonts w:ascii="Verdana" w:hAnsi="Verdana"/>
                <w:sz w:val="20"/>
                <w:szCs w:val="20"/>
              </w:rPr>
            </w:pPr>
            <w:r>
              <w:rPr>
                <w:rFonts w:ascii="Verdana" w:hAnsi="Verdana"/>
                <w:sz w:val="20"/>
                <w:szCs w:val="20"/>
              </w:rPr>
              <w:t>Metalworking fluids</w:t>
            </w:r>
            <w:r w:rsidR="00E234D7">
              <w:rPr>
                <w:rFonts w:ascii="Verdana" w:hAnsi="Verdana"/>
                <w:sz w:val="20"/>
                <w:szCs w:val="20"/>
              </w:rPr>
              <w:t xml:space="preserve"> (MWF)</w:t>
            </w:r>
            <w:r>
              <w:rPr>
                <w:rFonts w:ascii="Verdana" w:hAnsi="Verdana"/>
                <w:sz w:val="20"/>
                <w:szCs w:val="20"/>
              </w:rPr>
              <w:t xml:space="preserve"> formulation</w:t>
            </w:r>
          </w:p>
        </w:tc>
        <w:tc>
          <w:tcPr>
            <w:tcW w:w="1276" w:type="dxa"/>
          </w:tcPr>
          <w:p w14:paraId="638C92C7" w14:textId="55331F72" w:rsidR="00D53BEE" w:rsidRPr="00376715" w:rsidRDefault="00385257" w:rsidP="00385257">
            <w:pPr>
              <w:rPr>
                <w:rFonts w:ascii="Verdana" w:hAnsi="Verdana"/>
                <w:sz w:val="20"/>
                <w:szCs w:val="20"/>
              </w:rPr>
            </w:pPr>
            <w:r>
              <w:rPr>
                <w:rFonts w:ascii="Verdana" w:hAnsi="Verdana"/>
                <w:sz w:val="20"/>
                <w:szCs w:val="20"/>
              </w:rPr>
              <w:t>ES8</w:t>
            </w:r>
          </w:p>
        </w:tc>
        <w:tc>
          <w:tcPr>
            <w:tcW w:w="4536" w:type="dxa"/>
            <w:shd w:val="clear" w:color="auto" w:fill="auto"/>
          </w:tcPr>
          <w:p w14:paraId="416C0520" w14:textId="5D31D4FA" w:rsidR="00CE3AA0" w:rsidRDefault="00CE3AA0" w:rsidP="001249F9">
            <w:pPr>
              <w:rPr>
                <w:rFonts w:ascii="Verdana" w:hAnsi="Verdana"/>
                <w:sz w:val="20"/>
                <w:szCs w:val="20"/>
              </w:rPr>
            </w:pPr>
            <w:r w:rsidRPr="00CE3AA0">
              <w:rPr>
                <w:rFonts w:ascii="Verdana" w:hAnsi="Verdana"/>
                <w:sz w:val="20"/>
                <w:szCs w:val="20"/>
              </w:rPr>
              <w:t>MWF formulation is completed as a batch process typically at ambient temperatures with a maximum of 60C.</w:t>
            </w:r>
          </w:p>
          <w:p w14:paraId="27319FBB" w14:textId="77777777" w:rsidR="00D53BEE" w:rsidRDefault="00AC2998" w:rsidP="001249F9">
            <w:pPr>
              <w:rPr>
                <w:rFonts w:ascii="Verdana" w:hAnsi="Verdana"/>
                <w:sz w:val="20"/>
                <w:szCs w:val="20"/>
              </w:rPr>
            </w:pPr>
            <w:r w:rsidRPr="00AC2998">
              <w:rPr>
                <w:rFonts w:ascii="Verdana" w:hAnsi="Verdana"/>
                <w:sz w:val="20"/>
                <w:szCs w:val="20"/>
              </w:rPr>
              <w:t>Oil capture and recovery systems with effluent concentration of 5 mg/L or less dissolved oil.</w:t>
            </w:r>
          </w:p>
          <w:p w14:paraId="1245A550" w14:textId="00D88C7C" w:rsidR="00AC2998" w:rsidRDefault="00AC2998" w:rsidP="001249F9">
            <w:pPr>
              <w:rPr>
                <w:rFonts w:ascii="Verdana" w:hAnsi="Verdana"/>
                <w:sz w:val="20"/>
                <w:szCs w:val="20"/>
              </w:rPr>
            </w:pPr>
            <w:r w:rsidRPr="00AC2998">
              <w:rPr>
                <w:rFonts w:ascii="Verdana" w:hAnsi="Verdana"/>
                <w:sz w:val="20"/>
                <w:szCs w:val="20"/>
              </w:rPr>
              <w:t>Wastewater treatment with 97.1% removal from aqueous stream.</w:t>
            </w:r>
          </w:p>
          <w:p w14:paraId="42A602ED" w14:textId="723677BE" w:rsidR="00AC2998" w:rsidRPr="00AC2998" w:rsidRDefault="00AC2998" w:rsidP="00AC2998">
            <w:pPr>
              <w:rPr>
                <w:rFonts w:ascii="Verdana" w:hAnsi="Verdana"/>
                <w:sz w:val="20"/>
                <w:szCs w:val="20"/>
              </w:rPr>
            </w:pPr>
            <w:r w:rsidRPr="00AC2998">
              <w:rPr>
                <w:rFonts w:ascii="Verdana" w:hAnsi="Verdana"/>
                <w:sz w:val="20"/>
                <w:szCs w:val="20"/>
              </w:rPr>
              <w:t>Closed sinks/basins to prevent discharge to waste- and/or surface water</w:t>
            </w:r>
          </w:p>
          <w:p w14:paraId="4ABE97E5" w14:textId="75CB1E27" w:rsidR="00AC2998" w:rsidRDefault="00AC2998" w:rsidP="00AC2998">
            <w:pPr>
              <w:rPr>
                <w:rFonts w:ascii="Verdana" w:hAnsi="Verdana"/>
                <w:sz w:val="20"/>
                <w:szCs w:val="20"/>
              </w:rPr>
            </w:pPr>
            <w:r w:rsidRPr="00AC2998">
              <w:rPr>
                <w:rFonts w:ascii="Verdana" w:hAnsi="Verdana"/>
                <w:sz w:val="20"/>
                <w:szCs w:val="20"/>
              </w:rPr>
              <w:t>General good hygiene and housekeeping.</w:t>
            </w:r>
          </w:p>
          <w:p w14:paraId="7EBB0EA9" w14:textId="6BAF02D8" w:rsidR="00AC2998" w:rsidRPr="00376715" w:rsidRDefault="00AC2998" w:rsidP="00AC2998">
            <w:pPr>
              <w:rPr>
                <w:rFonts w:ascii="Verdana" w:hAnsi="Verdana"/>
                <w:sz w:val="20"/>
                <w:szCs w:val="20"/>
              </w:rPr>
            </w:pPr>
            <w:r w:rsidRPr="00AC2998">
              <w:rPr>
                <w:rFonts w:ascii="Verdana" w:hAnsi="Verdana"/>
                <w:sz w:val="20"/>
                <w:szCs w:val="20"/>
              </w:rPr>
              <w:t>Recovery and treatment of waste oils in accordance with the Reference Document on Best Available Techniques for Waste Treatment Industries (August, 2006).</w:t>
            </w:r>
          </w:p>
        </w:tc>
      </w:tr>
      <w:tr w:rsidR="00D53BEE" w:rsidRPr="00376715" w14:paraId="4FC5CE74" w14:textId="77777777" w:rsidTr="00D35A5A">
        <w:tc>
          <w:tcPr>
            <w:tcW w:w="2376" w:type="dxa"/>
            <w:shd w:val="clear" w:color="auto" w:fill="auto"/>
          </w:tcPr>
          <w:p w14:paraId="75A1C0AF" w14:textId="39C9E9A9" w:rsidR="00D53BEE" w:rsidRDefault="00D53BEE" w:rsidP="002A4EEA">
            <w:pPr>
              <w:rPr>
                <w:rFonts w:ascii="Verdana" w:hAnsi="Verdana"/>
                <w:sz w:val="20"/>
                <w:szCs w:val="20"/>
              </w:rPr>
            </w:pPr>
            <w:r>
              <w:rPr>
                <w:rFonts w:ascii="Verdana" w:hAnsi="Verdana"/>
                <w:sz w:val="20"/>
                <w:szCs w:val="20"/>
              </w:rPr>
              <w:t>Metalworking fluids professional use</w:t>
            </w:r>
            <w:r w:rsidR="00385257">
              <w:rPr>
                <w:rFonts w:ascii="Verdana" w:hAnsi="Verdana"/>
                <w:sz w:val="20"/>
                <w:szCs w:val="20"/>
              </w:rPr>
              <w:t xml:space="preserve"> - emulsions</w:t>
            </w:r>
          </w:p>
        </w:tc>
        <w:tc>
          <w:tcPr>
            <w:tcW w:w="1276" w:type="dxa"/>
          </w:tcPr>
          <w:p w14:paraId="32CC53C7" w14:textId="7244025D" w:rsidR="00D53BEE" w:rsidRPr="00376715" w:rsidRDefault="00385257" w:rsidP="001249F9">
            <w:pPr>
              <w:rPr>
                <w:rFonts w:ascii="Verdana" w:hAnsi="Verdana"/>
                <w:sz w:val="20"/>
                <w:szCs w:val="20"/>
              </w:rPr>
            </w:pPr>
            <w:r>
              <w:rPr>
                <w:rFonts w:ascii="Verdana" w:hAnsi="Verdana"/>
                <w:sz w:val="20"/>
                <w:szCs w:val="20"/>
              </w:rPr>
              <w:t>ES9</w:t>
            </w:r>
          </w:p>
        </w:tc>
        <w:tc>
          <w:tcPr>
            <w:tcW w:w="4536" w:type="dxa"/>
            <w:shd w:val="clear" w:color="auto" w:fill="auto"/>
          </w:tcPr>
          <w:p w14:paraId="212DD509" w14:textId="7463483E" w:rsidR="00CE3AA0" w:rsidRDefault="00CE3AA0" w:rsidP="00AC2998">
            <w:pPr>
              <w:rPr>
                <w:rFonts w:ascii="Verdana" w:hAnsi="Verdana"/>
                <w:sz w:val="20"/>
                <w:szCs w:val="20"/>
              </w:rPr>
            </w:pPr>
            <w:r w:rsidRPr="00CE3AA0">
              <w:rPr>
                <w:rFonts w:ascii="Verdana" w:hAnsi="Verdana"/>
                <w:sz w:val="20"/>
                <w:szCs w:val="20"/>
              </w:rPr>
              <w:t xml:space="preserve">Mist and evaporated </w:t>
            </w:r>
            <w:r w:rsidR="00AF3CB0" w:rsidRPr="00CE3AA0">
              <w:rPr>
                <w:rFonts w:ascii="Verdana" w:hAnsi="Verdana"/>
                <w:sz w:val="20"/>
                <w:szCs w:val="20"/>
              </w:rPr>
              <w:t>vapors</w:t>
            </w:r>
            <w:r w:rsidRPr="00CE3AA0">
              <w:rPr>
                <w:rFonts w:ascii="Verdana" w:hAnsi="Verdana"/>
                <w:sz w:val="20"/>
                <w:szCs w:val="20"/>
              </w:rPr>
              <w:t xml:space="preserve"> are enriched in water relative to the bulk solution as result of lower </w:t>
            </w:r>
            <w:r w:rsidR="00AF3CB0" w:rsidRPr="00CE3AA0">
              <w:rPr>
                <w:rFonts w:ascii="Verdana" w:hAnsi="Verdana"/>
                <w:sz w:val="20"/>
                <w:szCs w:val="20"/>
              </w:rPr>
              <w:t>vapor</w:t>
            </w:r>
            <w:r w:rsidRPr="00CE3AA0">
              <w:rPr>
                <w:rFonts w:ascii="Verdana" w:hAnsi="Verdana"/>
                <w:sz w:val="20"/>
                <w:szCs w:val="20"/>
              </w:rPr>
              <w:t xml:space="preserve"> pressure of </w:t>
            </w:r>
            <w:r w:rsidR="000578F2">
              <w:rPr>
                <w:rFonts w:ascii="Verdana" w:hAnsi="Verdana"/>
                <w:sz w:val="20"/>
                <w:szCs w:val="20"/>
              </w:rPr>
              <w:t>MCCPs</w:t>
            </w:r>
            <w:r w:rsidRPr="00CE3AA0">
              <w:rPr>
                <w:rFonts w:ascii="Verdana" w:hAnsi="Verdana"/>
                <w:sz w:val="20"/>
                <w:szCs w:val="20"/>
              </w:rPr>
              <w:t xml:space="preserve"> and releases to air are considered negligible (EU, 2005). The primary worst case sources of </w:t>
            </w:r>
            <w:r w:rsidR="000578F2">
              <w:rPr>
                <w:rFonts w:ascii="Verdana" w:hAnsi="Verdana"/>
                <w:sz w:val="20"/>
                <w:szCs w:val="20"/>
              </w:rPr>
              <w:t>MCCPs</w:t>
            </w:r>
            <w:r w:rsidR="00607BBD">
              <w:rPr>
                <w:rFonts w:ascii="Verdana" w:hAnsi="Verdana"/>
                <w:sz w:val="20"/>
                <w:szCs w:val="20"/>
              </w:rPr>
              <w:t xml:space="preserve"> </w:t>
            </w:r>
            <w:r w:rsidRPr="00CE3AA0">
              <w:rPr>
                <w:rFonts w:ascii="Verdana" w:hAnsi="Verdana"/>
                <w:sz w:val="20"/>
                <w:szCs w:val="20"/>
              </w:rPr>
              <w:t xml:space="preserve">to water are overalls (2%), leaks (3%) work-piece </w:t>
            </w:r>
            <w:proofErr w:type="spellStart"/>
            <w:r w:rsidRPr="00CE3AA0">
              <w:rPr>
                <w:rFonts w:ascii="Verdana" w:hAnsi="Verdana"/>
                <w:sz w:val="20"/>
                <w:szCs w:val="20"/>
              </w:rPr>
              <w:t>dragout</w:t>
            </w:r>
            <w:proofErr w:type="spellEnd"/>
            <w:r w:rsidRPr="00CE3AA0">
              <w:rPr>
                <w:rFonts w:ascii="Verdana" w:hAnsi="Verdana"/>
                <w:sz w:val="20"/>
                <w:szCs w:val="20"/>
              </w:rPr>
              <w:t xml:space="preserve"> (1%).</w:t>
            </w:r>
          </w:p>
          <w:p w14:paraId="38C8D553" w14:textId="726CBE31" w:rsidR="00AC2998" w:rsidRPr="00AC2998" w:rsidRDefault="00AC2998" w:rsidP="00AC2998">
            <w:pPr>
              <w:rPr>
                <w:rFonts w:ascii="Verdana" w:hAnsi="Verdana"/>
                <w:sz w:val="20"/>
                <w:szCs w:val="20"/>
              </w:rPr>
            </w:pPr>
            <w:r w:rsidRPr="00AC2998">
              <w:rPr>
                <w:rFonts w:ascii="Verdana" w:hAnsi="Verdana"/>
                <w:sz w:val="20"/>
                <w:szCs w:val="20"/>
              </w:rPr>
              <w:t>No direct release of spent MWF or residual oils to sewer</w:t>
            </w:r>
            <w:r>
              <w:rPr>
                <w:rFonts w:ascii="Verdana" w:hAnsi="Verdana"/>
                <w:sz w:val="20"/>
                <w:szCs w:val="20"/>
              </w:rPr>
              <w:t>.</w:t>
            </w:r>
          </w:p>
          <w:p w14:paraId="0BACAB12" w14:textId="5562C0B6" w:rsidR="00AC2998" w:rsidRPr="00AC2998" w:rsidRDefault="00AC2998" w:rsidP="00AC2998">
            <w:pPr>
              <w:rPr>
                <w:rFonts w:ascii="Verdana" w:hAnsi="Verdana"/>
                <w:sz w:val="20"/>
                <w:szCs w:val="20"/>
              </w:rPr>
            </w:pPr>
            <w:r w:rsidRPr="00AC2998">
              <w:rPr>
                <w:rFonts w:ascii="Verdana" w:hAnsi="Verdana"/>
                <w:sz w:val="20"/>
                <w:szCs w:val="20"/>
              </w:rPr>
              <w:t>Disposal of spent MWF in accordance with the Waste Oils Directive, 75/439/EEC</w:t>
            </w:r>
            <w:r>
              <w:rPr>
                <w:rFonts w:ascii="Verdana" w:hAnsi="Verdana"/>
                <w:sz w:val="20"/>
                <w:szCs w:val="20"/>
              </w:rPr>
              <w:t>.</w:t>
            </w:r>
          </w:p>
          <w:p w14:paraId="4887E580" w14:textId="77777777" w:rsidR="00D53BEE" w:rsidRDefault="00AC2998" w:rsidP="00AC2998">
            <w:pPr>
              <w:rPr>
                <w:rFonts w:ascii="Verdana" w:hAnsi="Verdana"/>
                <w:sz w:val="20"/>
                <w:szCs w:val="20"/>
              </w:rPr>
            </w:pPr>
            <w:r w:rsidRPr="00AC2998">
              <w:rPr>
                <w:rFonts w:ascii="Verdana" w:hAnsi="Verdana"/>
                <w:sz w:val="20"/>
                <w:szCs w:val="20"/>
              </w:rPr>
              <w:t xml:space="preserve">Recycling/recovery and treatment of oils recovered from </w:t>
            </w:r>
            <w:proofErr w:type="spellStart"/>
            <w:r w:rsidRPr="00AC2998">
              <w:rPr>
                <w:rFonts w:ascii="Verdana" w:hAnsi="Verdana"/>
                <w:sz w:val="20"/>
                <w:szCs w:val="20"/>
              </w:rPr>
              <w:t>swarf</w:t>
            </w:r>
            <w:proofErr w:type="spellEnd"/>
            <w:r>
              <w:rPr>
                <w:rFonts w:ascii="Verdana" w:hAnsi="Verdana"/>
                <w:sz w:val="20"/>
                <w:szCs w:val="20"/>
              </w:rPr>
              <w:t>.</w:t>
            </w:r>
          </w:p>
          <w:p w14:paraId="6ECA3263" w14:textId="3C38D265" w:rsidR="00AC2998" w:rsidRDefault="00AC2998" w:rsidP="00AC2998">
            <w:pPr>
              <w:rPr>
                <w:rFonts w:ascii="Verdana" w:hAnsi="Verdana"/>
                <w:sz w:val="20"/>
                <w:szCs w:val="20"/>
              </w:rPr>
            </w:pPr>
            <w:r w:rsidRPr="00AC2998">
              <w:rPr>
                <w:rFonts w:ascii="Verdana" w:hAnsi="Verdana"/>
                <w:sz w:val="20"/>
                <w:szCs w:val="20"/>
              </w:rPr>
              <w:t>Wastewater treatment with 97.1% removal from aqueous stream.</w:t>
            </w:r>
          </w:p>
          <w:p w14:paraId="1974A773" w14:textId="4A6DA167" w:rsidR="00AC2998" w:rsidRPr="00AC2998" w:rsidRDefault="00E234D7" w:rsidP="00AC2998">
            <w:pPr>
              <w:rPr>
                <w:rFonts w:ascii="Verdana" w:hAnsi="Verdana"/>
                <w:sz w:val="20"/>
                <w:szCs w:val="20"/>
              </w:rPr>
            </w:pPr>
            <w:r>
              <w:rPr>
                <w:rFonts w:ascii="Verdana" w:hAnsi="Verdana"/>
                <w:sz w:val="20"/>
                <w:szCs w:val="20"/>
              </w:rPr>
              <w:lastRenderedPageBreak/>
              <w:t>Closed sinks/</w:t>
            </w:r>
            <w:r w:rsidR="00AC2998" w:rsidRPr="00AC2998">
              <w:rPr>
                <w:rFonts w:ascii="Verdana" w:hAnsi="Verdana"/>
                <w:sz w:val="20"/>
                <w:szCs w:val="20"/>
              </w:rPr>
              <w:t>basins to prevent discharge to waste- and/or surface water</w:t>
            </w:r>
          </w:p>
          <w:p w14:paraId="09197786" w14:textId="2B489742" w:rsidR="00AC2998" w:rsidRDefault="00AC2998" w:rsidP="00AC2998">
            <w:pPr>
              <w:rPr>
                <w:rFonts w:ascii="Verdana" w:hAnsi="Verdana"/>
                <w:sz w:val="20"/>
                <w:szCs w:val="20"/>
              </w:rPr>
            </w:pPr>
            <w:r w:rsidRPr="00AC2998">
              <w:rPr>
                <w:rFonts w:ascii="Verdana" w:hAnsi="Verdana"/>
                <w:sz w:val="20"/>
                <w:szCs w:val="20"/>
              </w:rPr>
              <w:t>General good hygiene and housekeeping.</w:t>
            </w:r>
          </w:p>
          <w:p w14:paraId="5969ED6A" w14:textId="3F5B2D0E" w:rsidR="00AC2998" w:rsidRPr="00376715" w:rsidRDefault="00AC2998" w:rsidP="00AC2998">
            <w:pPr>
              <w:rPr>
                <w:rFonts w:ascii="Verdana" w:hAnsi="Verdana"/>
                <w:sz w:val="20"/>
                <w:szCs w:val="20"/>
              </w:rPr>
            </w:pPr>
            <w:r w:rsidRPr="00AC2998">
              <w:rPr>
                <w:rFonts w:ascii="Verdana" w:hAnsi="Verdana"/>
                <w:sz w:val="20"/>
                <w:szCs w:val="20"/>
              </w:rPr>
              <w:t>Treatment of waste in accordance with the Reference Document on Best Available Techniques for Waste Treatment Industries (August, 2006).</w:t>
            </w:r>
          </w:p>
        </w:tc>
      </w:tr>
      <w:tr w:rsidR="00385257" w:rsidRPr="00376715" w14:paraId="324FF2FE" w14:textId="77777777" w:rsidTr="00D35A5A">
        <w:tc>
          <w:tcPr>
            <w:tcW w:w="2376" w:type="dxa"/>
            <w:shd w:val="clear" w:color="auto" w:fill="auto"/>
          </w:tcPr>
          <w:p w14:paraId="5B4E7D0E" w14:textId="207C421C" w:rsidR="00385257" w:rsidRDefault="00385257" w:rsidP="001249F9">
            <w:pPr>
              <w:rPr>
                <w:rFonts w:ascii="Verdana" w:hAnsi="Verdana"/>
                <w:sz w:val="20"/>
                <w:szCs w:val="20"/>
              </w:rPr>
            </w:pPr>
            <w:r w:rsidRPr="00385257">
              <w:rPr>
                <w:rFonts w:ascii="Verdana" w:hAnsi="Verdana"/>
                <w:sz w:val="20"/>
                <w:szCs w:val="20"/>
              </w:rPr>
              <w:lastRenderedPageBreak/>
              <w:t>Metalworking fluids professional use</w:t>
            </w:r>
            <w:r>
              <w:rPr>
                <w:rFonts w:ascii="Verdana" w:hAnsi="Verdana"/>
                <w:sz w:val="20"/>
                <w:szCs w:val="20"/>
              </w:rPr>
              <w:t xml:space="preserve"> – neat oils</w:t>
            </w:r>
          </w:p>
        </w:tc>
        <w:tc>
          <w:tcPr>
            <w:tcW w:w="1276" w:type="dxa"/>
          </w:tcPr>
          <w:p w14:paraId="6D206849" w14:textId="5E4F60EA" w:rsidR="00385257" w:rsidRPr="00376715" w:rsidRDefault="00385257" w:rsidP="00385257">
            <w:pPr>
              <w:rPr>
                <w:rFonts w:ascii="Verdana" w:hAnsi="Verdana"/>
                <w:sz w:val="20"/>
                <w:szCs w:val="20"/>
              </w:rPr>
            </w:pPr>
            <w:r>
              <w:rPr>
                <w:rFonts w:ascii="Verdana" w:hAnsi="Verdana"/>
                <w:sz w:val="20"/>
                <w:szCs w:val="20"/>
              </w:rPr>
              <w:t>ES10</w:t>
            </w:r>
          </w:p>
        </w:tc>
        <w:tc>
          <w:tcPr>
            <w:tcW w:w="4536" w:type="dxa"/>
            <w:shd w:val="clear" w:color="auto" w:fill="auto"/>
          </w:tcPr>
          <w:p w14:paraId="2DEA341B" w14:textId="2991ACA0" w:rsidR="00CE3AA0" w:rsidRDefault="00CE3AA0" w:rsidP="00AC2998">
            <w:pPr>
              <w:rPr>
                <w:rFonts w:ascii="Verdana" w:hAnsi="Verdana"/>
                <w:sz w:val="20"/>
                <w:szCs w:val="20"/>
              </w:rPr>
            </w:pPr>
            <w:r w:rsidRPr="00CE3AA0">
              <w:rPr>
                <w:rFonts w:ascii="Verdana" w:hAnsi="Verdana"/>
                <w:sz w:val="20"/>
                <w:szCs w:val="20"/>
              </w:rPr>
              <w:t xml:space="preserve">The primary worst case sources of </w:t>
            </w:r>
            <w:r w:rsidR="000578F2">
              <w:rPr>
                <w:rFonts w:ascii="Verdana" w:hAnsi="Verdana"/>
                <w:sz w:val="20"/>
                <w:szCs w:val="20"/>
              </w:rPr>
              <w:t>MCCPs</w:t>
            </w:r>
            <w:r w:rsidR="00607BBD">
              <w:rPr>
                <w:rFonts w:ascii="Verdana" w:hAnsi="Verdana"/>
                <w:sz w:val="20"/>
                <w:szCs w:val="20"/>
              </w:rPr>
              <w:t xml:space="preserve"> </w:t>
            </w:r>
            <w:r w:rsidRPr="00CE3AA0">
              <w:rPr>
                <w:rFonts w:ascii="Verdana" w:hAnsi="Verdana"/>
                <w:sz w:val="20"/>
                <w:szCs w:val="20"/>
              </w:rPr>
              <w:t xml:space="preserve">to water are overalls (1 to 2%), leaks (1 to 3%) work-piece </w:t>
            </w:r>
            <w:proofErr w:type="spellStart"/>
            <w:r w:rsidRPr="00CE3AA0">
              <w:rPr>
                <w:rFonts w:ascii="Verdana" w:hAnsi="Verdana"/>
                <w:sz w:val="20"/>
                <w:szCs w:val="20"/>
              </w:rPr>
              <w:t>dragout</w:t>
            </w:r>
            <w:proofErr w:type="spellEnd"/>
            <w:r w:rsidRPr="00CE3AA0">
              <w:rPr>
                <w:rFonts w:ascii="Verdana" w:hAnsi="Verdana"/>
                <w:sz w:val="20"/>
                <w:szCs w:val="20"/>
              </w:rPr>
              <w:t xml:space="preserve"> (1%) and mist (2%). Leaks, mist and </w:t>
            </w:r>
            <w:proofErr w:type="spellStart"/>
            <w:r w:rsidRPr="00CE3AA0">
              <w:rPr>
                <w:rFonts w:ascii="Verdana" w:hAnsi="Verdana"/>
                <w:sz w:val="20"/>
                <w:szCs w:val="20"/>
              </w:rPr>
              <w:t>dragout</w:t>
            </w:r>
            <w:proofErr w:type="spellEnd"/>
            <w:r w:rsidRPr="00CE3AA0">
              <w:rPr>
                <w:rFonts w:ascii="Verdana" w:hAnsi="Verdana"/>
                <w:sz w:val="20"/>
                <w:szCs w:val="20"/>
              </w:rPr>
              <w:t xml:space="preserve"> losses are assumed controlled by risk management measure as described below.</w:t>
            </w:r>
          </w:p>
          <w:p w14:paraId="4A0C8A3E" w14:textId="77777777" w:rsidR="00AC2998" w:rsidRPr="00AC2998" w:rsidRDefault="00AC2998" w:rsidP="00AC2998">
            <w:pPr>
              <w:rPr>
                <w:rFonts w:ascii="Verdana" w:hAnsi="Verdana"/>
                <w:sz w:val="20"/>
                <w:szCs w:val="20"/>
              </w:rPr>
            </w:pPr>
            <w:r w:rsidRPr="00AC2998">
              <w:rPr>
                <w:rFonts w:ascii="Verdana" w:hAnsi="Verdana"/>
                <w:sz w:val="20"/>
                <w:szCs w:val="20"/>
              </w:rPr>
              <w:t>No direct release of spent MWF or residual oils to sewer.</w:t>
            </w:r>
          </w:p>
          <w:p w14:paraId="5E203607" w14:textId="77777777" w:rsidR="00AC2998" w:rsidRPr="00AC2998" w:rsidRDefault="00AC2998" w:rsidP="00AC2998">
            <w:pPr>
              <w:rPr>
                <w:rFonts w:ascii="Verdana" w:hAnsi="Verdana"/>
                <w:sz w:val="20"/>
                <w:szCs w:val="20"/>
              </w:rPr>
            </w:pPr>
            <w:r w:rsidRPr="00AC2998">
              <w:rPr>
                <w:rFonts w:ascii="Verdana" w:hAnsi="Verdana"/>
                <w:sz w:val="20"/>
                <w:szCs w:val="20"/>
              </w:rPr>
              <w:t>Disposal of spent MWF in accordance with the Waste Oils Directive, 75/439/EEC.</w:t>
            </w:r>
          </w:p>
          <w:p w14:paraId="798B48BA" w14:textId="77777777" w:rsidR="00385257" w:rsidRDefault="00AC2998" w:rsidP="00AC2998">
            <w:pPr>
              <w:rPr>
                <w:rFonts w:ascii="Verdana" w:hAnsi="Verdana"/>
                <w:sz w:val="20"/>
                <w:szCs w:val="20"/>
              </w:rPr>
            </w:pPr>
            <w:r w:rsidRPr="00AC2998">
              <w:rPr>
                <w:rFonts w:ascii="Verdana" w:hAnsi="Verdana"/>
                <w:sz w:val="20"/>
                <w:szCs w:val="20"/>
              </w:rPr>
              <w:t xml:space="preserve">Recycling/recovery and treatment of oils recovered from </w:t>
            </w:r>
            <w:proofErr w:type="spellStart"/>
            <w:r w:rsidRPr="00AC2998">
              <w:rPr>
                <w:rFonts w:ascii="Verdana" w:hAnsi="Verdana"/>
                <w:sz w:val="20"/>
                <w:szCs w:val="20"/>
              </w:rPr>
              <w:t>swarf</w:t>
            </w:r>
            <w:proofErr w:type="spellEnd"/>
            <w:r w:rsidRPr="00AC2998">
              <w:rPr>
                <w:rFonts w:ascii="Verdana" w:hAnsi="Verdana"/>
                <w:sz w:val="20"/>
                <w:szCs w:val="20"/>
              </w:rPr>
              <w:t>.</w:t>
            </w:r>
          </w:p>
          <w:p w14:paraId="15114504" w14:textId="77777777" w:rsidR="00AC2998" w:rsidRPr="00AC2998" w:rsidRDefault="00AC2998" w:rsidP="00AC2998">
            <w:pPr>
              <w:rPr>
                <w:rFonts w:ascii="Verdana" w:hAnsi="Verdana"/>
                <w:sz w:val="20"/>
                <w:szCs w:val="20"/>
              </w:rPr>
            </w:pPr>
            <w:r w:rsidRPr="00AC2998">
              <w:rPr>
                <w:rFonts w:ascii="Verdana" w:hAnsi="Verdana"/>
                <w:sz w:val="20"/>
                <w:szCs w:val="20"/>
              </w:rPr>
              <w:t>In the absence of municipal wastewater treatment or in the case of direct discharge to surface water, physical and/or industrial waste treatment with removal efficiency of 97.1% or greater.</w:t>
            </w:r>
          </w:p>
          <w:p w14:paraId="52915CA7" w14:textId="18DCDE4E" w:rsidR="00AC2998" w:rsidRPr="00AC2998" w:rsidRDefault="00AC2998" w:rsidP="00AC2998">
            <w:pPr>
              <w:rPr>
                <w:rFonts w:ascii="Verdana" w:hAnsi="Verdana"/>
                <w:sz w:val="20"/>
                <w:szCs w:val="20"/>
              </w:rPr>
            </w:pPr>
            <w:r w:rsidRPr="00AC2998">
              <w:rPr>
                <w:rFonts w:ascii="Verdana" w:hAnsi="Verdana"/>
                <w:sz w:val="20"/>
                <w:szCs w:val="20"/>
              </w:rPr>
              <w:t xml:space="preserve">In absence of control or losses from </w:t>
            </w:r>
            <w:proofErr w:type="spellStart"/>
            <w:r w:rsidRPr="00AC2998">
              <w:rPr>
                <w:rFonts w:ascii="Verdana" w:hAnsi="Verdana"/>
                <w:sz w:val="20"/>
                <w:szCs w:val="20"/>
              </w:rPr>
              <w:t>dragout</w:t>
            </w:r>
            <w:proofErr w:type="spellEnd"/>
            <w:r w:rsidRPr="00AC2998">
              <w:rPr>
                <w:rFonts w:ascii="Verdana" w:hAnsi="Verdana"/>
                <w:sz w:val="20"/>
                <w:szCs w:val="20"/>
              </w:rPr>
              <w:t>, mist generation or residual oil discharge to sewer, mechanical treatment and/or industrial waste treatment to achieve annual emiss</w:t>
            </w:r>
            <w:r w:rsidR="00861D95">
              <w:rPr>
                <w:rFonts w:ascii="Verdana" w:hAnsi="Verdana"/>
                <w:sz w:val="20"/>
                <w:szCs w:val="20"/>
              </w:rPr>
              <w:t>ions less than 50 </w:t>
            </w:r>
            <w:r w:rsidRPr="00AC2998">
              <w:rPr>
                <w:rFonts w:ascii="Verdana" w:hAnsi="Verdana"/>
                <w:sz w:val="20"/>
                <w:szCs w:val="20"/>
              </w:rPr>
              <w:t>kg/year or effluent oil concentration of 5 mg/L or less dissolved oil.</w:t>
            </w:r>
          </w:p>
          <w:p w14:paraId="7E72BEE0" w14:textId="6F18CCBE" w:rsidR="00AC2998" w:rsidRDefault="00AC2998" w:rsidP="00AC2998">
            <w:pPr>
              <w:rPr>
                <w:rFonts w:ascii="Verdana" w:hAnsi="Verdana"/>
                <w:sz w:val="20"/>
                <w:szCs w:val="20"/>
              </w:rPr>
            </w:pPr>
            <w:r w:rsidRPr="00AC2998">
              <w:rPr>
                <w:rFonts w:ascii="Verdana" w:hAnsi="Verdana"/>
                <w:sz w:val="20"/>
                <w:szCs w:val="20"/>
              </w:rPr>
              <w:t xml:space="preserve">Potential </w:t>
            </w:r>
            <w:r w:rsidR="000578F2">
              <w:rPr>
                <w:rFonts w:ascii="Verdana" w:hAnsi="Verdana"/>
                <w:sz w:val="20"/>
                <w:szCs w:val="20"/>
              </w:rPr>
              <w:t>MCCPs</w:t>
            </w:r>
            <w:r w:rsidR="00607BBD">
              <w:rPr>
                <w:rFonts w:ascii="Verdana" w:hAnsi="Verdana"/>
                <w:sz w:val="20"/>
                <w:szCs w:val="20"/>
              </w:rPr>
              <w:t xml:space="preserve"> </w:t>
            </w:r>
            <w:r w:rsidRPr="00AC2998">
              <w:rPr>
                <w:rFonts w:ascii="Verdana" w:hAnsi="Verdana"/>
                <w:sz w:val="20"/>
                <w:szCs w:val="20"/>
              </w:rPr>
              <w:t xml:space="preserve">wastewater emissions at well controlled facilities may be confirmed by measurement of </w:t>
            </w:r>
            <w:proofErr w:type="spellStart"/>
            <w:r w:rsidRPr="00AC2998">
              <w:rPr>
                <w:rFonts w:ascii="Verdana" w:hAnsi="Verdana"/>
                <w:sz w:val="20"/>
                <w:szCs w:val="20"/>
              </w:rPr>
              <w:t>adsorbable</w:t>
            </w:r>
            <w:proofErr w:type="spellEnd"/>
            <w:r w:rsidRPr="00AC2998">
              <w:rPr>
                <w:rFonts w:ascii="Verdana" w:hAnsi="Verdana"/>
                <w:sz w:val="20"/>
                <w:szCs w:val="20"/>
              </w:rPr>
              <w:t xml:space="preserve"> organic halide (AOX) as a surrogate for </w:t>
            </w:r>
            <w:r w:rsidR="000578F2">
              <w:rPr>
                <w:rFonts w:ascii="Verdana" w:hAnsi="Verdana"/>
                <w:sz w:val="20"/>
                <w:szCs w:val="20"/>
              </w:rPr>
              <w:t>MCCPs</w:t>
            </w:r>
            <w:r w:rsidR="00607BBD">
              <w:rPr>
                <w:rFonts w:ascii="Verdana" w:hAnsi="Verdana"/>
                <w:sz w:val="20"/>
                <w:szCs w:val="20"/>
              </w:rPr>
              <w:t xml:space="preserve"> </w:t>
            </w:r>
            <w:r w:rsidRPr="00AC2998">
              <w:rPr>
                <w:rFonts w:ascii="Verdana" w:hAnsi="Verdana"/>
                <w:sz w:val="20"/>
                <w:szCs w:val="20"/>
              </w:rPr>
              <w:t>when there are no other appreciable sources of chlorinated substances in the effluent (EU, 2008).</w:t>
            </w:r>
          </w:p>
          <w:p w14:paraId="694F7272" w14:textId="2848AAF3" w:rsidR="00142B58" w:rsidRPr="00142B58" w:rsidRDefault="00E234D7" w:rsidP="00142B58">
            <w:pPr>
              <w:rPr>
                <w:rFonts w:ascii="Verdana" w:hAnsi="Verdana"/>
                <w:sz w:val="20"/>
                <w:szCs w:val="20"/>
              </w:rPr>
            </w:pPr>
            <w:r>
              <w:rPr>
                <w:rFonts w:ascii="Verdana" w:hAnsi="Verdana"/>
                <w:sz w:val="20"/>
                <w:szCs w:val="20"/>
              </w:rPr>
              <w:t>Closed sinks/</w:t>
            </w:r>
            <w:r w:rsidR="00142B58" w:rsidRPr="00142B58">
              <w:rPr>
                <w:rFonts w:ascii="Verdana" w:hAnsi="Verdana"/>
                <w:sz w:val="20"/>
                <w:szCs w:val="20"/>
              </w:rPr>
              <w:t>basins to prevent discharge to waste- and/or surface water</w:t>
            </w:r>
          </w:p>
          <w:p w14:paraId="27E67979" w14:textId="77777777" w:rsidR="00142B58" w:rsidRPr="00142B58" w:rsidRDefault="00142B58" w:rsidP="00142B58">
            <w:pPr>
              <w:rPr>
                <w:rFonts w:ascii="Verdana" w:hAnsi="Verdana"/>
                <w:sz w:val="20"/>
                <w:szCs w:val="20"/>
              </w:rPr>
            </w:pPr>
            <w:r w:rsidRPr="00142B58">
              <w:rPr>
                <w:rFonts w:ascii="Verdana" w:hAnsi="Verdana"/>
                <w:sz w:val="20"/>
                <w:szCs w:val="20"/>
              </w:rPr>
              <w:t>General good hygiene and housekeeping.</w:t>
            </w:r>
          </w:p>
          <w:p w14:paraId="0F4DAF6F" w14:textId="25737588" w:rsidR="00142B58" w:rsidRPr="00376715" w:rsidRDefault="00142B58" w:rsidP="00AC2998">
            <w:pPr>
              <w:rPr>
                <w:rFonts w:ascii="Verdana" w:hAnsi="Verdana"/>
                <w:sz w:val="20"/>
                <w:szCs w:val="20"/>
              </w:rPr>
            </w:pPr>
            <w:r w:rsidRPr="00142B58">
              <w:rPr>
                <w:rFonts w:ascii="Verdana" w:hAnsi="Verdana"/>
                <w:sz w:val="20"/>
                <w:szCs w:val="20"/>
              </w:rPr>
              <w:t>Treatment of waste in accordance with the Reference Document on Best Available Techniques for Waste Treatment Industries (August, 2006).</w:t>
            </w:r>
          </w:p>
        </w:tc>
      </w:tr>
      <w:tr w:rsidR="00D53BEE" w:rsidRPr="00376715" w14:paraId="053432E7" w14:textId="77777777" w:rsidTr="00D35A5A">
        <w:tc>
          <w:tcPr>
            <w:tcW w:w="2376" w:type="dxa"/>
            <w:shd w:val="clear" w:color="auto" w:fill="auto"/>
          </w:tcPr>
          <w:p w14:paraId="48A61BC2" w14:textId="7A511EFF" w:rsidR="00D53BEE" w:rsidRDefault="00D53BEE" w:rsidP="001249F9">
            <w:pPr>
              <w:rPr>
                <w:rFonts w:ascii="Verdana" w:hAnsi="Verdana"/>
                <w:sz w:val="20"/>
                <w:szCs w:val="20"/>
              </w:rPr>
            </w:pPr>
            <w:r>
              <w:rPr>
                <w:rFonts w:ascii="Verdana" w:hAnsi="Verdana"/>
                <w:sz w:val="20"/>
                <w:szCs w:val="20"/>
              </w:rPr>
              <w:lastRenderedPageBreak/>
              <w:t>Textiles treatment: formulation</w:t>
            </w:r>
            <w:r w:rsidR="00385257">
              <w:rPr>
                <w:rFonts w:ascii="Verdana" w:hAnsi="Verdana"/>
                <w:sz w:val="20"/>
                <w:szCs w:val="20"/>
              </w:rPr>
              <w:t xml:space="preserve"> &amp; use</w:t>
            </w:r>
          </w:p>
        </w:tc>
        <w:tc>
          <w:tcPr>
            <w:tcW w:w="1276" w:type="dxa"/>
          </w:tcPr>
          <w:p w14:paraId="7572EC2E" w14:textId="2645D99C" w:rsidR="00D53BEE" w:rsidRPr="00376715" w:rsidRDefault="00385257" w:rsidP="001249F9">
            <w:pPr>
              <w:rPr>
                <w:rFonts w:ascii="Verdana" w:hAnsi="Verdana"/>
                <w:sz w:val="20"/>
                <w:szCs w:val="20"/>
              </w:rPr>
            </w:pPr>
            <w:r>
              <w:rPr>
                <w:rFonts w:ascii="Verdana" w:hAnsi="Verdana"/>
                <w:sz w:val="20"/>
                <w:szCs w:val="20"/>
              </w:rPr>
              <w:t>ES11</w:t>
            </w:r>
          </w:p>
        </w:tc>
        <w:tc>
          <w:tcPr>
            <w:tcW w:w="4536" w:type="dxa"/>
            <w:shd w:val="clear" w:color="auto" w:fill="auto"/>
          </w:tcPr>
          <w:p w14:paraId="7E2DB5F9" w14:textId="170EB0A0" w:rsidR="00CE3AA0" w:rsidRDefault="00CE3AA0" w:rsidP="001249F9">
            <w:pPr>
              <w:rPr>
                <w:rFonts w:ascii="Verdana" w:hAnsi="Verdana"/>
                <w:sz w:val="20"/>
                <w:szCs w:val="20"/>
              </w:rPr>
            </w:pPr>
            <w:r w:rsidRPr="00CE3AA0">
              <w:rPr>
                <w:rFonts w:ascii="Verdana" w:hAnsi="Verdana"/>
                <w:sz w:val="20"/>
                <w:szCs w:val="20"/>
              </w:rPr>
              <w:t>Fixation of 100% of the coating to the textile is assumed.</w:t>
            </w:r>
          </w:p>
          <w:p w14:paraId="682D932B" w14:textId="77777777" w:rsidR="00D53BEE" w:rsidRDefault="00142B58" w:rsidP="001249F9">
            <w:pPr>
              <w:rPr>
                <w:rFonts w:ascii="Verdana" w:hAnsi="Verdana"/>
                <w:sz w:val="20"/>
                <w:szCs w:val="20"/>
              </w:rPr>
            </w:pPr>
            <w:r w:rsidRPr="00142B58">
              <w:rPr>
                <w:rFonts w:ascii="Verdana" w:hAnsi="Verdana"/>
                <w:sz w:val="20"/>
                <w:szCs w:val="20"/>
              </w:rPr>
              <w:t>Process conducted in accordance with the OECD ESD (2004c) and Reference Document on Best Available Techniques for the Textile Industry (July, 2003).</w:t>
            </w:r>
          </w:p>
          <w:p w14:paraId="63424E23" w14:textId="1EA67B2B" w:rsidR="00142B58" w:rsidRDefault="00142B58" w:rsidP="001249F9">
            <w:pPr>
              <w:rPr>
                <w:rFonts w:ascii="Verdana" w:hAnsi="Verdana"/>
                <w:sz w:val="20"/>
                <w:szCs w:val="20"/>
              </w:rPr>
            </w:pPr>
            <w:r w:rsidRPr="00142B58">
              <w:rPr>
                <w:rFonts w:ascii="Verdana" w:hAnsi="Verdana"/>
                <w:sz w:val="20"/>
                <w:szCs w:val="20"/>
              </w:rPr>
              <w:t>Wastewater treatment with 97.1% removal from aqueous stream.</w:t>
            </w:r>
          </w:p>
          <w:p w14:paraId="747186F2" w14:textId="6596617C" w:rsidR="00142B58" w:rsidRPr="00142B58" w:rsidRDefault="00E234D7" w:rsidP="00142B58">
            <w:pPr>
              <w:rPr>
                <w:rFonts w:ascii="Verdana" w:hAnsi="Verdana"/>
                <w:sz w:val="20"/>
                <w:szCs w:val="20"/>
              </w:rPr>
            </w:pPr>
            <w:r>
              <w:rPr>
                <w:rFonts w:ascii="Verdana" w:hAnsi="Verdana"/>
                <w:sz w:val="20"/>
                <w:szCs w:val="20"/>
              </w:rPr>
              <w:t>Closed sinks/</w:t>
            </w:r>
            <w:r w:rsidR="00142B58" w:rsidRPr="00142B58">
              <w:rPr>
                <w:rFonts w:ascii="Verdana" w:hAnsi="Verdana"/>
                <w:sz w:val="20"/>
                <w:szCs w:val="20"/>
              </w:rPr>
              <w:t>basins to prevent discharge to waste- and/or surface water</w:t>
            </w:r>
          </w:p>
          <w:p w14:paraId="4252E4DB" w14:textId="77777777" w:rsidR="00142B58" w:rsidRPr="00142B58" w:rsidRDefault="00142B58" w:rsidP="00142B58">
            <w:pPr>
              <w:rPr>
                <w:rFonts w:ascii="Verdana" w:hAnsi="Verdana"/>
                <w:sz w:val="20"/>
                <w:szCs w:val="20"/>
              </w:rPr>
            </w:pPr>
            <w:r w:rsidRPr="00142B58">
              <w:rPr>
                <w:rFonts w:ascii="Verdana" w:hAnsi="Verdana"/>
                <w:sz w:val="20"/>
                <w:szCs w:val="20"/>
              </w:rPr>
              <w:t>General good hygiene and housekeeping.</w:t>
            </w:r>
          </w:p>
          <w:p w14:paraId="2783C548" w14:textId="5970BA72" w:rsidR="00142B58" w:rsidRPr="00376715" w:rsidRDefault="00142B58" w:rsidP="001249F9">
            <w:pPr>
              <w:rPr>
                <w:rFonts w:ascii="Verdana" w:hAnsi="Verdana"/>
                <w:sz w:val="20"/>
                <w:szCs w:val="20"/>
              </w:rPr>
            </w:pPr>
            <w:r w:rsidRPr="00142B58">
              <w:rPr>
                <w:rFonts w:ascii="Verdana" w:hAnsi="Verdana"/>
                <w:sz w:val="20"/>
                <w:szCs w:val="20"/>
              </w:rPr>
              <w:t>Treatment of waste in accordance with the Reference Document on Best Available Techniques for Waste Treatment Industries (August, 2006).</w:t>
            </w:r>
          </w:p>
        </w:tc>
      </w:tr>
      <w:tr w:rsidR="00385257" w:rsidRPr="00376715" w14:paraId="66AC47F3" w14:textId="77777777" w:rsidTr="00D35A5A">
        <w:tc>
          <w:tcPr>
            <w:tcW w:w="2376" w:type="dxa"/>
            <w:shd w:val="clear" w:color="auto" w:fill="auto"/>
          </w:tcPr>
          <w:p w14:paraId="5DDD6905" w14:textId="7D086660" w:rsidR="00385257" w:rsidRDefault="00385257" w:rsidP="00385257">
            <w:pPr>
              <w:rPr>
                <w:rFonts w:ascii="Verdana" w:hAnsi="Verdana"/>
                <w:sz w:val="20"/>
                <w:szCs w:val="20"/>
              </w:rPr>
            </w:pPr>
            <w:r>
              <w:rPr>
                <w:rFonts w:ascii="Verdana" w:hAnsi="Verdana"/>
                <w:sz w:val="20"/>
                <w:szCs w:val="20"/>
              </w:rPr>
              <w:t>Textiles – outdoor service life</w:t>
            </w:r>
          </w:p>
        </w:tc>
        <w:tc>
          <w:tcPr>
            <w:tcW w:w="1276" w:type="dxa"/>
          </w:tcPr>
          <w:p w14:paraId="1212BC7C" w14:textId="60B9FF06" w:rsidR="00385257" w:rsidRPr="00376715" w:rsidRDefault="00385257" w:rsidP="001249F9">
            <w:pPr>
              <w:rPr>
                <w:rFonts w:ascii="Verdana" w:hAnsi="Verdana"/>
                <w:sz w:val="20"/>
                <w:szCs w:val="20"/>
              </w:rPr>
            </w:pPr>
            <w:r>
              <w:rPr>
                <w:rFonts w:ascii="Verdana" w:hAnsi="Verdana"/>
                <w:sz w:val="20"/>
                <w:szCs w:val="20"/>
              </w:rPr>
              <w:t>ES12</w:t>
            </w:r>
          </w:p>
        </w:tc>
        <w:tc>
          <w:tcPr>
            <w:tcW w:w="4536" w:type="dxa"/>
            <w:shd w:val="clear" w:color="auto" w:fill="auto"/>
          </w:tcPr>
          <w:p w14:paraId="73D5A873" w14:textId="58701A8B" w:rsidR="00385257" w:rsidRPr="00376715" w:rsidRDefault="00142B58" w:rsidP="00142B58">
            <w:pPr>
              <w:rPr>
                <w:rFonts w:ascii="Verdana" w:hAnsi="Verdana"/>
                <w:sz w:val="20"/>
                <w:szCs w:val="20"/>
              </w:rPr>
            </w:pPr>
            <w:r>
              <w:rPr>
                <w:rFonts w:ascii="Verdana" w:hAnsi="Verdana"/>
                <w:sz w:val="20"/>
                <w:szCs w:val="20"/>
              </w:rPr>
              <w:t>As for ES4.</w:t>
            </w:r>
          </w:p>
        </w:tc>
      </w:tr>
      <w:tr w:rsidR="00D53BEE" w:rsidRPr="00376715" w14:paraId="5EBEF7C6" w14:textId="77777777" w:rsidTr="00D35A5A">
        <w:tc>
          <w:tcPr>
            <w:tcW w:w="2376" w:type="dxa"/>
            <w:shd w:val="clear" w:color="auto" w:fill="auto"/>
          </w:tcPr>
          <w:p w14:paraId="7F6DB6E6" w14:textId="33A50406" w:rsidR="00D53BEE" w:rsidRDefault="00D53BEE" w:rsidP="00385257">
            <w:pPr>
              <w:rPr>
                <w:rFonts w:ascii="Verdana" w:hAnsi="Verdana"/>
                <w:sz w:val="20"/>
                <w:szCs w:val="20"/>
              </w:rPr>
            </w:pPr>
            <w:r>
              <w:rPr>
                <w:rFonts w:ascii="Verdana" w:hAnsi="Verdana"/>
                <w:sz w:val="20"/>
                <w:szCs w:val="20"/>
              </w:rPr>
              <w:t xml:space="preserve">Textiles </w:t>
            </w:r>
            <w:r w:rsidR="00385257">
              <w:rPr>
                <w:rFonts w:ascii="Verdana" w:hAnsi="Verdana"/>
                <w:sz w:val="20"/>
                <w:szCs w:val="20"/>
              </w:rPr>
              <w:t>– indoor service life</w:t>
            </w:r>
          </w:p>
        </w:tc>
        <w:tc>
          <w:tcPr>
            <w:tcW w:w="1276" w:type="dxa"/>
          </w:tcPr>
          <w:p w14:paraId="061E20C3" w14:textId="5A7982B6" w:rsidR="00D53BEE" w:rsidRPr="00376715" w:rsidRDefault="00385257" w:rsidP="001249F9">
            <w:pPr>
              <w:rPr>
                <w:rFonts w:ascii="Verdana" w:hAnsi="Verdana"/>
                <w:sz w:val="20"/>
                <w:szCs w:val="20"/>
              </w:rPr>
            </w:pPr>
            <w:r>
              <w:rPr>
                <w:rFonts w:ascii="Verdana" w:hAnsi="Verdana"/>
                <w:sz w:val="20"/>
                <w:szCs w:val="20"/>
              </w:rPr>
              <w:t>ES13</w:t>
            </w:r>
          </w:p>
        </w:tc>
        <w:tc>
          <w:tcPr>
            <w:tcW w:w="4536" w:type="dxa"/>
            <w:shd w:val="clear" w:color="auto" w:fill="auto"/>
          </w:tcPr>
          <w:p w14:paraId="2F0E9D8D" w14:textId="38A6FA06" w:rsidR="00D53BEE" w:rsidRPr="00376715" w:rsidRDefault="00142B58" w:rsidP="00142B58">
            <w:pPr>
              <w:rPr>
                <w:rFonts w:ascii="Verdana" w:hAnsi="Verdana"/>
                <w:sz w:val="20"/>
                <w:szCs w:val="20"/>
              </w:rPr>
            </w:pPr>
            <w:r>
              <w:rPr>
                <w:rFonts w:ascii="Verdana" w:hAnsi="Verdana"/>
                <w:sz w:val="20"/>
                <w:szCs w:val="20"/>
              </w:rPr>
              <w:t>As for ES4.</w:t>
            </w:r>
          </w:p>
        </w:tc>
      </w:tr>
      <w:tr w:rsidR="00D53BEE" w:rsidRPr="00376715" w14:paraId="6709E9F1" w14:textId="77777777" w:rsidTr="00D35A5A">
        <w:tc>
          <w:tcPr>
            <w:tcW w:w="2376" w:type="dxa"/>
            <w:shd w:val="clear" w:color="auto" w:fill="auto"/>
          </w:tcPr>
          <w:p w14:paraId="50769E99" w14:textId="58DF8261" w:rsidR="00D53BEE" w:rsidRDefault="00D53BEE" w:rsidP="001249F9">
            <w:pPr>
              <w:rPr>
                <w:rFonts w:ascii="Verdana" w:hAnsi="Verdana"/>
                <w:sz w:val="20"/>
                <w:szCs w:val="20"/>
              </w:rPr>
            </w:pPr>
            <w:r>
              <w:rPr>
                <w:rFonts w:ascii="Verdana" w:hAnsi="Verdana"/>
                <w:sz w:val="20"/>
                <w:szCs w:val="20"/>
              </w:rPr>
              <w:t>Paints &amp; coatings formulation and use</w:t>
            </w:r>
          </w:p>
        </w:tc>
        <w:tc>
          <w:tcPr>
            <w:tcW w:w="1276" w:type="dxa"/>
          </w:tcPr>
          <w:p w14:paraId="1E29EB06" w14:textId="0D226E9A" w:rsidR="00D53BEE" w:rsidRPr="00376715" w:rsidRDefault="00385257" w:rsidP="001249F9">
            <w:pPr>
              <w:rPr>
                <w:rFonts w:ascii="Verdana" w:hAnsi="Verdana"/>
                <w:sz w:val="20"/>
                <w:szCs w:val="20"/>
              </w:rPr>
            </w:pPr>
            <w:r>
              <w:rPr>
                <w:rFonts w:ascii="Verdana" w:hAnsi="Verdana"/>
                <w:sz w:val="20"/>
                <w:szCs w:val="20"/>
              </w:rPr>
              <w:t>ES14</w:t>
            </w:r>
          </w:p>
        </w:tc>
        <w:tc>
          <w:tcPr>
            <w:tcW w:w="4536" w:type="dxa"/>
            <w:shd w:val="clear" w:color="auto" w:fill="auto"/>
          </w:tcPr>
          <w:p w14:paraId="77B520D4" w14:textId="54AD91A9" w:rsidR="00CE3AA0" w:rsidRDefault="000578F2" w:rsidP="00142B58">
            <w:pPr>
              <w:rPr>
                <w:rFonts w:ascii="Verdana" w:hAnsi="Verdana"/>
                <w:sz w:val="20"/>
                <w:szCs w:val="20"/>
              </w:rPr>
            </w:pPr>
            <w:r>
              <w:rPr>
                <w:rFonts w:ascii="Verdana" w:hAnsi="Verdana"/>
                <w:sz w:val="20"/>
                <w:szCs w:val="20"/>
              </w:rPr>
              <w:t>MCCPs</w:t>
            </w:r>
            <w:r w:rsidR="00CE3AA0" w:rsidRPr="00CE3AA0">
              <w:rPr>
                <w:rFonts w:ascii="Verdana" w:hAnsi="Verdana"/>
                <w:sz w:val="20"/>
                <w:szCs w:val="20"/>
              </w:rPr>
              <w:t xml:space="preserve"> </w:t>
            </w:r>
            <w:r w:rsidR="00A03EB4">
              <w:rPr>
                <w:rFonts w:ascii="Verdana" w:hAnsi="Verdana"/>
                <w:sz w:val="20"/>
                <w:szCs w:val="20"/>
              </w:rPr>
              <w:t xml:space="preserve"> is </w:t>
            </w:r>
            <w:r w:rsidR="00CE3AA0" w:rsidRPr="00CE3AA0">
              <w:rPr>
                <w:rFonts w:ascii="Verdana" w:hAnsi="Verdana"/>
                <w:sz w:val="20"/>
                <w:szCs w:val="20"/>
              </w:rPr>
              <w:t>used in solvent based paints, primarily in industrial applications. Releases to water and air from formulation and industrial use are negligible because the chlorinated paraffin is associated with the solid phase.</w:t>
            </w:r>
          </w:p>
          <w:p w14:paraId="3DA2F49D" w14:textId="77777777" w:rsidR="00142B58" w:rsidRPr="00142B58" w:rsidRDefault="00142B58" w:rsidP="00142B58">
            <w:pPr>
              <w:rPr>
                <w:rFonts w:ascii="Verdana" w:hAnsi="Verdana"/>
                <w:sz w:val="20"/>
                <w:szCs w:val="20"/>
              </w:rPr>
            </w:pPr>
            <w:r w:rsidRPr="00142B58">
              <w:rPr>
                <w:rFonts w:ascii="Verdana" w:hAnsi="Verdana"/>
                <w:sz w:val="20"/>
                <w:szCs w:val="20"/>
              </w:rPr>
              <w:t>Collection of disposal of solid waste generated during cleaning in a permitted landfill.</w:t>
            </w:r>
          </w:p>
          <w:p w14:paraId="2F8EF19E" w14:textId="4D513370" w:rsidR="00142B58" w:rsidRPr="00142B58" w:rsidRDefault="00E234D7" w:rsidP="00142B58">
            <w:pPr>
              <w:rPr>
                <w:rFonts w:ascii="Verdana" w:hAnsi="Verdana"/>
                <w:sz w:val="20"/>
                <w:szCs w:val="20"/>
              </w:rPr>
            </w:pPr>
            <w:r>
              <w:rPr>
                <w:rFonts w:ascii="Verdana" w:hAnsi="Verdana"/>
                <w:sz w:val="20"/>
                <w:szCs w:val="20"/>
              </w:rPr>
              <w:t>Closed sinks/</w:t>
            </w:r>
            <w:r w:rsidR="00142B58" w:rsidRPr="00142B58">
              <w:rPr>
                <w:rFonts w:ascii="Verdana" w:hAnsi="Verdana"/>
                <w:sz w:val="20"/>
                <w:szCs w:val="20"/>
              </w:rPr>
              <w:t>basins to prevent discharge to waste- and/or surface water</w:t>
            </w:r>
          </w:p>
          <w:p w14:paraId="19D81849" w14:textId="77777777" w:rsidR="00142B58" w:rsidRPr="00142B58" w:rsidRDefault="00142B58" w:rsidP="00142B58">
            <w:pPr>
              <w:rPr>
                <w:rFonts w:ascii="Verdana" w:hAnsi="Verdana"/>
                <w:sz w:val="20"/>
                <w:szCs w:val="20"/>
              </w:rPr>
            </w:pPr>
            <w:r w:rsidRPr="00142B58">
              <w:rPr>
                <w:rFonts w:ascii="Verdana" w:hAnsi="Verdana"/>
                <w:sz w:val="20"/>
                <w:szCs w:val="20"/>
              </w:rPr>
              <w:t>General good hygiene and housekeeping.</w:t>
            </w:r>
          </w:p>
          <w:p w14:paraId="71AF2421" w14:textId="122872DA" w:rsidR="00D53BEE" w:rsidRPr="00376715" w:rsidRDefault="00142B58" w:rsidP="00142B58">
            <w:pPr>
              <w:rPr>
                <w:rFonts w:ascii="Verdana" w:hAnsi="Verdana"/>
                <w:sz w:val="20"/>
                <w:szCs w:val="20"/>
              </w:rPr>
            </w:pPr>
            <w:r w:rsidRPr="00142B58">
              <w:rPr>
                <w:rFonts w:ascii="Verdana" w:hAnsi="Verdana"/>
                <w:sz w:val="20"/>
                <w:szCs w:val="20"/>
              </w:rPr>
              <w:t>Treatment of waste in accordance with the Reference Document on Best Available Techniques for Waste Treatment Industries (August, 2006).</w:t>
            </w:r>
          </w:p>
        </w:tc>
      </w:tr>
      <w:tr w:rsidR="00385257" w:rsidRPr="00376715" w14:paraId="70244DEB" w14:textId="77777777" w:rsidTr="00D35A5A">
        <w:tc>
          <w:tcPr>
            <w:tcW w:w="2376" w:type="dxa"/>
            <w:shd w:val="clear" w:color="auto" w:fill="auto"/>
          </w:tcPr>
          <w:p w14:paraId="533465E9" w14:textId="65A6D63E" w:rsidR="00385257" w:rsidRDefault="00385257" w:rsidP="001249F9">
            <w:pPr>
              <w:rPr>
                <w:rFonts w:ascii="Verdana" w:hAnsi="Verdana"/>
                <w:sz w:val="20"/>
                <w:szCs w:val="20"/>
              </w:rPr>
            </w:pPr>
            <w:r>
              <w:rPr>
                <w:rFonts w:ascii="Verdana" w:hAnsi="Verdana"/>
                <w:sz w:val="20"/>
                <w:szCs w:val="20"/>
              </w:rPr>
              <w:t xml:space="preserve">Paints </w:t>
            </w:r>
            <w:r w:rsidRPr="00385257">
              <w:rPr>
                <w:rFonts w:ascii="Verdana" w:hAnsi="Verdana"/>
                <w:sz w:val="20"/>
                <w:szCs w:val="20"/>
              </w:rPr>
              <w:t>&amp; coatings</w:t>
            </w:r>
            <w:r>
              <w:rPr>
                <w:rFonts w:ascii="Verdana" w:hAnsi="Verdana"/>
                <w:sz w:val="20"/>
                <w:szCs w:val="20"/>
              </w:rPr>
              <w:t xml:space="preserve"> – outdoor service life</w:t>
            </w:r>
          </w:p>
        </w:tc>
        <w:tc>
          <w:tcPr>
            <w:tcW w:w="1276" w:type="dxa"/>
          </w:tcPr>
          <w:p w14:paraId="1C367663" w14:textId="7CF9B21A" w:rsidR="00385257" w:rsidRPr="00376715" w:rsidRDefault="00385257" w:rsidP="001249F9">
            <w:pPr>
              <w:rPr>
                <w:rFonts w:ascii="Verdana" w:hAnsi="Verdana"/>
                <w:sz w:val="20"/>
                <w:szCs w:val="20"/>
              </w:rPr>
            </w:pPr>
            <w:r>
              <w:rPr>
                <w:rFonts w:ascii="Verdana" w:hAnsi="Verdana"/>
                <w:sz w:val="20"/>
                <w:szCs w:val="20"/>
              </w:rPr>
              <w:t>ES15</w:t>
            </w:r>
          </w:p>
        </w:tc>
        <w:tc>
          <w:tcPr>
            <w:tcW w:w="4536" w:type="dxa"/>
            <w:shd w:val="clear" w:color="auto" w:fill="auto"/>
          </w:tcPr>
          <w:p w14:paraId="7068662A" w14:textId="78D29563" w:rsidR="00385257" w:rsidRPr="00376715" w:rsidRDefault="00142B58" w:rsidP="001249F9">
            <w:pPr>
              <w:rPr>
                <w:rFonts w:ascii="Verdana" w:hAnsi="Verdana"/>
                <w:sz w:val="20"/>
                <w:szCs w:val="20"/>
              </w:rPr>
            </w:pPr>
            <w:r>
              <w:rPr>
                <w:rFonts w:ascii="Verdana" w:hAnsi="Verdana"/>
                <w:sz w:val="20"/>
                <w:szCs w:val="20"/>
              </w:rPr>
              <w:t>As for ES4.</w:t>
            </w:r>
          </w:p>
        </w:tc>
      </w:tr>
      <w:tr w:rsidR="00385257" w:rsidRPr="00376715" w14:paraId="065EC09E" w14:textId="77777777" w:rsidTr="00D35A5A">
        <w:tc>
          <w:tcPr>
            <w:tcW w:w="2376" w:type="dxa"/>
            <w:shd w:val="clear" w:color="auto" w:fill="auto"/>
          </w:tcPr>
          <w:p w14:paraId="23291CDF" w14:textId="2FB35075" w:rsidR="00385257" w:rsidRDefault="00385257" w:rsidP="00385257">
            <w:pPr>
              <w:rPr>
                <w:rFonts w:ascii="Verdana" w:hAnsi="Verdana"/>
                <w:sz w:val="20"/>
                <w:szCs w:val="20"/>
              </w:rPr>
            </w:pPr>
            <w:r w:rsidRPr="00385257">
              <w:rPr>
                <w:rFonts w:ascii="Verdana" w:hAnsi="Verdana"/>
                <w:sz w:val="20"/>
                <w:szCs w:val="20"/>
              </w:rPr>
              <w:t xml:space="preserve">Paints &amp; coatings – </w:t>
            </w:r>
            <w:r>
              <w:rPr>
                <w:rFonts w:ascii="Verdana" w:hAnsi="Verdana"/>
                <w:sz w:val="20"/>
                <w:szCs w:val="20"/>
              </w:rPr>
              <w:t>in</w:t>
            </w:r>
            <w:r w:rsidRPr="00385257">
              <w:rPr>
                <w:rFonts w:ascii="Verdana" w:hAnsi="Verdana"/>
                <w:sz w:val="20"/>
                <w:szCs w:val="20"/>
              </w:rPr>
              <w:t>door service life</w:t>
            </w:r>
          </w:p>
        </w:tc>
        <w:tc>
          <w:tcPr>
            <w:tcW w:w="1276" w:type="dxa"/>
          </w:tcPr>
          <w:p w14:paraId="7B45525A" w14:textId="12329D70" w:rsidR="00385257" w:rsidRPr="00376715" w:rsidRDefault="00385257" w:rsidP="001249F9">
            <w:pPr>
              <w:rPr>
                <w:rFonts w:ascii="Verdana" w:hAnsi="Verdana"/>
                <w:sz w:val="20"/>
                <w:szCs w:val="20"/>
              </w:rPr>
            </w:pPr>
            <w:r>
              <w:rPr>
                <w:rFonts w:ascii="Verdana" w:hAnsi="Verdana"/>
                <w:sz w:val="20"/>
                <w:szCs w:val="20"/>
              </w:rPr>
              <w:t>ES16</w:t>
            </w:r>
          </w:p>
        </w:tc>
        <w:tc>
          <w:tcPr>
            <w:tcW w:w="4536" w:type="dxa"/>
            <w:shd w:val="clear" w:color="auto" w:fill="auto"/>
          </w:tcPr>
          <w:p w14:paraId="2D754181" w14:textId="41B9F5AB" w:rsidR="00385257" w:rsidRPr="00376715" w:rsidRDefault="00142B58" w:rsidP="001249F9">
            <w:pPr>
              <w:rPr>
                <w:rFonts w:ascii="Verdana" w:hAnsi="Verdana"/>
                <w:sz w:val="20"/>
                <w:szCs w:val="20"/>
              </w:rPr>
            </w:pPr>
            <w:r>
              <w:rPr>
                <w:rFonts w:ascii="Verdana" w:hAnsi="Verdana"/>
                <w:sz w:val="20"/>
                <w:szCs w:val="20"/>
              </w:rPr>
              <w:t>As for ES4.</w:t>
            </w:r>
          </w:p>
        </w:tc>
      </w:tr>
      <w:tr w:rsidR="00D53BEE" w:rsidRPr="00376715" w14:paraId="36994BAD" w14:textId="77777777" w:rsidTr="00D35A5A">
        <w:tc>
          <w:tcPr>
            <w:tcW w:w="2376" w:type="dxa"/>
            <w:shd w:val="clear" w:color="auto" w:fill="auto"/>
          </w:tcPr>
          <w:p w14:paraId="15C359E7" w14:textId="1199A6AC" w:rsidR="00D53BEE" w:rsidRDefault="00D53BEE" w:rsidP="001249F9">
            <w:pPr>
              <w:rPr>
                <w:rFonts w:ascii="Verdana" w:hAnsi="Verdana"/>
                <w:sz w:val="20"/>
                <w:szCs w:val="20"/>
              </w:rPr>
            </w:pPr>
            <w:r>
              <w:rPr>
                <w:rFonts w:ascii="Verdana" w:hAnsi="Verdana"/>
                <w:sz w:val="20"/>
                <w:szCs w:val="20"/>
              </w:rPr>
              <w:t>Paper manufacturing and recycling</w:t>
            </w:r>
          </w:p>
        </w:tc>
        <w:tc>
          <w:tcPr>
            <w:tcW w:w="1276" w:type="dxa"/>
          </w:tcPr>
          <w:p w14:paraId="69DBFAB6" w14:textId="3ACE8D42" w:rsidR="00D53BEE" w:rsidRPr="00376715" w:rsidRDefault="00385257" w:rsidP="001249F9">
            <w:pPr>
              <w:rPr>
                <w:rFonts w:ascii="Verdana" w:hAnsi="Verdana"/>
                <w:sz w:val="20"/>
                <w:szCs w:val="20"/>
              </w:rPr>
            </w:pPr>
            <w:r>
              <w:rPr>
                <w:rFonts w:ascii="Verdana" w:hAnsi="Verdana"/>
                <w:sz w:val="20"/>
                <w:szCs w:val="20"/>
              </w:rPr>
              <w:t>ES17</w:t>
            </w:r>
          </w:p>
        </w:tc>
        <w:tc>
          <w:tcPr>
            <w:tcW w:w="4536" w:type="dxa"/>
            <w:shd w:val="clear" w:color="auto" w:fill="auto"/>
          </w:tcPr>
          <w:p w14:paraId="69E854D3" w14:textId="1FD7676A" w:rsidR="00142B58" w:rsidRPr="00142B58" w:rsidRDefault="000578F2" w:rsidP="00142B58">
            <w:pPr>
              <w:rPr>
                <w:rFonts w:ascii="Verdana" w:hAnsi="Verdana"/>
                <w:sz w:val="20"/>
                <w:szCs w:val="20"/>
              </w:rPr>
            </w:pPr>
            <w:r>
              <w:rPr>
                <w:rFonts w:ascii="Verdana" w:hAnsi="Verdana"/>
                <w:sz w:val="20"/>
                <w:szCs w:val="20"/>
              </w:rPr>
              <w:t>MCCPs</w:t>
            </w:r>
            <w:r w:rsidR="00A03EB4">
              <w:rPr>
                <w:rFonts w:ascii="Verdana" w:hAnsi="Verdana"/>
                <w:sz w:val="20"/>
                <w:szCs w:val="20"/>
              </w:rPr>
              <w:t xml:space="preserve"> is </w:t>
            </w:r>
            <w:r w:rsidR="00142B58" w:rsidRPr="00142B58">
              <w:rPr>
                <w:rFonts w:ascii="Verdana" w:hAnsi="Verdana"/>
                <w:sz w:val="20"/>
                <w:szCs w:val="20"/>
              </w:rPr>
              <w:t xml:space="preserve"> processed in closed systems in carbon copy manufacture with </w:t>
            </w:r>
            <w:proofErr w:type="spellStart"/>
            <w:r w:rsidR="00142B58" w:rsidRPr="00142B58">
              <w:rPr>
                <w:rFonts w:ascii="Verdana" w:hAnsi="Verdana"/>
                <w:sz w:val="20"/>
                <w:szCs w:val="20"/>
              </w:rPr>
              <w:t>neg</w:t>
            </w:r>
            <w:r w:rsidR="00AF3CB0">
              <w:rPr>
                <w:rFonts w:ascii="Verdana" w:hAnsi="Verdana"/>
                <w:sz w:val="20"/>
                <w:szCs w:val="20"/>
              </w:rPr>
              <w:t>l</w:t>
            </w:r>
            <w:r w:rsidR="00142B58" w:rsidRPr="00142B58">
              <w:rPr>
                <w:rFonts w:ascii="Verdana" w:hAnsi="Verdana"/>
                <w:sz w:val="20"/>
                <w:szCs w:val="20"/>
              </w:rPr>
              <w:t>ible</w:t>
            </w:r>
            <w:proofErr w:type="spellEnd"/>
            <w:r w:rsidR="00142B58" w:rsidRPr="00142B58">
              <w:rPr>
                <w:rFonts w:ascii="Verdana" w:hAnsi="Verdana"/>
                <w:sz w:val="20"/>
                <w:szCs w:val="20"/>
              </w:rPr>
              <w:t xml:space="preserve"> release</w:t>
            </w:r>
            <w:r w:rsidR="00CE3AA0">
              <w:rPr>
                <w:rFonts w:ascii="Verdana" w:hAnsi="Verdana"/>
                <w:sz w:val="20"/>
                <w:szCs w:val="20"/>
              </w:rPr>
              <w:t>.</w:t>
            </w:r>
          </w:p>
          <w:p w14:paraId="13BD6F56" w14:textId="14EE7D6D" w:rsidR="00D53BEE" w:rsidRDefault="000578F2" w:rsidP="00142B58">
            <w:pPr>
              <w:rPr>
                <w:rFonts w:ascii="Verdana" w:hAnsi="Verdana"/>
                <w:sz w:val="20"/>
                <w:szCs w:val="20"/>
              </w:rPr>
            </w:pPr>
            <w:r>
              <w:rPr>
                <w:rFonts w:ascii="Verdana" w:hAnsi="Verdana"/>
                <w:sz w:val="20"/>
                <w:szCs w:val="20"/>
              </w:rPr>
              <w:lastRenderedPageBreak/>
              <w:t>MCCPs</w:t>
            </w:r>
            <w:r w:rsidR="00A03EB4">
              <w:rPr>
                <w:rFonts w:ascii="Verdana" w:hAnsi="Verdana"/>
                <w:sz w:val="20"/>
                <w:szCs w:val="20"/>
              </w:rPr>
              <w:t xml:space="preserve"> is a </w:t>
            </w:r>
            <w:r w:rsidR="00142B58" w:rsidRPr="00142B58">
              <w:rPr>
                <w:rFonts w:ascii="Verdana" w:hAnsi="Verdana"/>
                <w:sz w:val="20"/>
                <w:szCs w:val="20"/>
              </w:rPr>
              <w:t xml:space="preserve"> carrier solvent for color formers, which are </w:t>
            </w:r>
            <w:r w:rsidR="00AF3CB0" w:rsidRPr="00142B58">
              <w:rPr>
                <w:rFonts w:ascii="Verdana" w:hAnsi="Verdana"/>
                <w:sz w:val="20"/>
                <w:szCs w:val="20"/>
              </w:rPr>
              <w:t>hydrolyzed</w:t>
            </w:r>
            <w:r w:rsidR="00142B58" w:rsidRPr="00142B58">
              <w:rPr>
                <w:rFonts w:ascii="Verdana" w:hAnsi="Verdana"/>
                <w:sz w:val="20"/>
                <w:szCs w:val="20"/>
              </w:rPr>
              <w:t xml:space="preserve"> and released during recycled papermaking pulping</w:t>
            </w:r>
            <w:r w:rsidR="00CE3AA0">
              <w:rPr>
                <w:rFonts w:ascii="Verdana" w:hAnsi="Verdana"/>
                <w:sz w:val="20"/>
                <w:szCs w:val="20"/>
              </w:rPr>
              <w:t>.</w:t>
            </w:r>
          </w:p>
          <w:p w14:paraId="0DB0792B" w14:textId="77777777" w:rsidR="00CE3AA0" w:rsidRPr="00CE3AA0" w:rsidRDefault="00CE3AA0" w:rsidP="00CE3AA0">
            <w:pPr>
              <w:rPr>
                <w:rFonts w:ascii="Verdana" w:hAnsi="Verdana"/>
                <w:sz w:val="20"/>
                <w:szCs w:val="20"/>
              </w:rPr>
            </w:pPr>
            <w:r w:rsidRPr="00CE3AA0">
              <w:rPr>
                <w:rFonts w:ascii="Verdana" w:hAnsi="Verdana"/>
                <w:sz w:val="20"/>
                <w:szCs w:val="20"/>
              </w:rPr>
              <w:t>Collection of disposal of solid waste generated during cleaning in a permitted landfill.</w:t>
            </w:r>
          </w:p>
          <w:p w14:paraId="46250E8F" w14:textId="11C0160B" w:rsidR="00CE3AA0" w:rsidRPr="00CE3AA0" w:rsidRDefault="00E234D7" w:rsidP="00CE3AA0">
            <w:pPr>
              <w:rPr>
                <w:rFonts w:ascii="Verdana" w:hAnsi="Verdana"/>
                <w:sz w:val="20"/>
                <w:szCs w:val="20"/>
              </w:rPr>
            </w:pPr>
            <w:r>
              <w:rPr>
                <w:rFonts w:ascii="Verdana" w:hAnsi="Verdana"/>
                <w:sz w:val="20"/>
                <w:szCs w:val="20"/>
              </w:rPr>
              <w:t>Closed sinks/</w:t>
            </w:r>
            <w:r w:rsidR="00CE3AA0" w:rsidRPr="00CE3AA0">
              <w:rPr>
                <w:rFonts w:ascii="Verdana" w:hAnsi="Verdana"/>
                <w:sz w:val="20"/>
                <w:szCs w:val="20"/>
              </w:rPr>
              <w:t>basins to prevent discharge to waste- and/or surface water</w:t>
            </w:r>
          </w:p>
          <w:p w14:paraId="16AC56AC" w14:textId="77777777" w:rsidR="00CE3AA0" w:rsidRPr="00CE3AA0" w:rsidRDefault="00CE3AA0" w:rsidP="00CE3AA0">
            <w:pPr>
              <w:rPr>
                <w:rFonts w:ascii="Verdana" w:hAnsi="Verdana"/>
                <w:sz w:val="20"/>
                <w:szCs w:val="20"/>
              </w:rPr>
            </w:pPr>
            <w:r w:rsidRPr="00CE3AA0">
              <w:rPr>
                <w:rFonts w:ascii="Verdana" w:hAnsi="Verdana"/>
                <w:sz w:val="20"/>
                <w:szCs w:val="20"/>
              </w:rPr>
              <w:t>General good hygiene and housekeeping.</w:t>
            </w:r>
          </w:p>
          <w:p w14:paraId="025CA101" w14:textId="63FD06DC" w:rsidR="00CE3AA0" w:rsidRPr="00376715" w:rsidRDefault="00CE3AA0" w:rsidP="00CE3AA0">
            <w:pPr>
              <w:rPr>
                <w:rFonts w:ascii="Verdana" w:hAnsi="Verdana"/>
                <w:sz w:val="20"/>
                <w:szCs w:val="20"/>
              </w:rPr>
            </w:pPr>
            <w:r w:rsidRPr="00CE3AA0">
              <w:rPr>
                <w:rFonts w:ascii="Verdana" w:hAnsi="Verdana"/>
                <w:sz w:val="20"/>
                <w:szCs w:val="20"/>
              </w:rPr>
              <w:t>Treatment of waste in accordance with the Reference Document on Best Available Techniques for Waste Treatment Industries (August, 2006).</w:t>
            </w:r>
          </w:p>
        </w:tc>
      </w:tr>
    </w:tbl>
    <w:p w14:paraId="5F685097" w14:textId="77777777" w:rsidR="00123BFD" w:rsidRDefault="00123BFD" w:rsidP="00EB5C5E">
      <w:pPr>
        <w:keepNext/>
        <w:spacing w:before="120" w:after="90"/>
        <w:jc w:val="both"/>
        <w:rPr>
          <w:rFonts w:ascii="Verdana" w:hAnsi="Verdana"/>
          <w:bCs/>
          <w:sz w:val="20"/>
          <w:szCs w:val="20"/>
          <w:lang w:val="en-GB"/>
        </w:rPr>
      </w:pPr>
    </w:p>
    <w:p w14:paraId="11EC0C91" w14:textId="71672646" w:rsidR="00EB5C5E" w:rsidRPr="00EB5C5E" w:rsidRDefault="00EB5C5E" w:rsidP="00EB5C5E">
      <w:pPr>
        <w:keepNext/>
        <w:spacing w:before="120" w:after="90"/>
        <w:jc w:val="both"/>
        <w:rPr>
          <w:rFonts w:ascii="Verdana" w:hAnsi="Verdana"/>
          <w:bCs/>
          <w:sz w:val="20"/>
          <w:szCs w:val="20"/>
          <w:lang w:val="en-GB"/>
        </w:rPr>
      </w:pPr>
      <w:r w:rsidRPr="00EB5C5E">
        <w:rPr>
          <w:rFonts w:ascii="Verdana" w:hAnsi="Verdana"/>
          <w:bCs/>
          <w:sz w:val="20"/>
          <w:szCs w:val="20"/>
          <w:lang w:val="en-GB"/>
        </w:rPr>
        <w:t xml:space="preserve">Articles manufactured with </w:t>
      </w:r>
      <w:r w:rsidR="000578F2">
        <w:rPr>
          <w:rFonts w:ascii="Verdana" w:hAnsi="Verdana"/>
          <w:bCs/>
          <w:sz w:val="20"/>
          <w:szCs w:val="20"/>
          <w:lang w:val="en-GB"/>
        </w:rPr>
        <w:t>MCCPs</w:t>
      </w:r>
      <w:r w:rsidR="00607BBD">
        <w:rPr>
          <w:rFonts w:ascii="Verdana" w:hAnsi="Verdana"/>
          <w:bCs/>
          <w:sz w:val="20"/>
          <w:szCs w:val="20"/>
          <w:lang w:val="en-GB"/>
        </w:rPr>
        <w:t xml:space="preserve"> </w:t>
      </w:r>
      <w:r w:rsidRPr="00EB5C5E">
        <w:rPr>
          <w:rFonts w:ascii="Verdana" w:hAnsi="Verdana"/>
          <w:bCs/>
          <w:sz w:val="20"/>
          <w:szCs w:val="20"/>
          <w:lang w:val="en-GB"/>
        </w:rPr>
        <w:t xml:space="preserve">in one Member State may be transported to and used in another Member State. Articles may also be imported into Europe. With measured levels </w:t>
      </w:r>
      <w:r w:rsidR="006B1DC3">
        <w:rPr>
          <w:rFonts w:ascii="Verdana" w:hAnsi="Verdana"/>
          <w:bCs/>
          <w:sz w:val="20"/>
          <w:szCs w:val="20"/>
          <w:lang w:val="en-GB"/>
        </w:rPr>
        <w:t xml:space="preserve">in environmental media and biota </w:t>
      </w:r>
      <w:r w:rsidRPr="00EB5C5E">
        <w:rPr>
          <w:rFonts w:ascii="Verdana" w:hAnsi="Verdana"/>
          <w:bCs/>
          <w:sz w:val="20"/>
          <w:szCs w:val="20"/>
          <w:lang w:val="en-GB"/>
        </w:rPr>
        <w:t xml:space="preserve">showing widespread environmental </w:t>
      </w:r>
      <w:r w:rsidR="006B1DC3">
        <w:rPr>
          <w:rFonts w:ascii="Verdana" w:hAnsi="Verdana"/>
          <w:bCs/>
          <w:sz w:val="20"/>
          <w:szCs w:val="20"/>
          <w:lang w:val="en-GB"/>
        </w:rPr>
        <w:t>contamination</w:t>
      </w:r>
      <w:r w:rsidRPr="00EB5C5E">
        <w:rPr>
          <w:rFonts w:ascii="Verdana" w:hAnsi="Verdana"/>
          <w:bCs/>
          <w:sz w:val="20"/>
          <w:szCs w:val="20"/>
          <w:lang w:val="en-GB"/>
        </w:rPr>
        <w:t xml:space="preserve">, it is appropriate to consider Europe-wide measures for risk reduction. </w:t>
      </w:r>
    </w:p>
    <w:p w14:paraId="5BF2DDBC" w14:textId="77777777" w:rsidR="00EB5C5E" w:rsidRDefault="00EB5C5E" w:rsidP="001A4BCD">
      <w:pPr>
        <w:pStyle w:val="BodyText"/>
        <w:rPr>
          <w:lang w:val="en-US"/>
        </w:rPr>
      </w:pPr>
    </w:p>
    <w:p w14:paraId="39B96B13" w14:textId="77777777" w:rsidR="00080134" w:rsidRDefault="00080134" w:rsidP="00080134">
      <w:pPr>
        <w:pStyle w:val="Heading2"/>
        <w:tabs>
          <w:tab w:val="clear" w:pos="839"/>
          <w:tab w:val="num" w:pos="540"/>
        </w:tabs>
        <w:spacing w:before="240"/>
        <w:ind w:left="540" w:hanging="540"/>
        <w:rPr>
          <w:szCs w:val="24"/>
        </w:rPr>
      </w:pPr>
      <w:r>
        <w:rPr>
          <w:szCs w:val="24"/>
        </w:rPr>
        <w:t>Identification and assessment of risk management options</w:t>
      </w:r>
    </w:p>
    <w:p w14:paraId="7F94A1CE" w14:textId="1D3439A7" w:rsidR="000E324D" w:rsidRPr="001B0749" w:rsidRDefault="000E324D" w:rsidP="000E324D">
      <w:pPr>
        <w:spacing w:after="0"/>
        <w:jc w:val="both"/>
        <w:rPr>
          <w:rFonts w:ascii="Verdana" w:hAnsi="Verdana"/>
          <w:sz w:val="20"/>
          <w:szCs w:val="20"/>
          <w:lang w:val="en-GB"/>
        </w:rPr>
      </w:pPr>
      <w:r w:rsidRPr="001B0749">
        <w:rPr>
          <w:rFonts w:ascii="Verdana" w:hAnsi="Verdana"/>
          <w:sz w:val="20"/>
          <w:lang w:val="en-GB"/>
        </w:rPr>
        <w:t xml:space="preserve">The following legislative instruments and other initiatives have </w:t>
      </w:r>
      <w:r w:rsidR="00F16D37">
        <w:rPr>
          <w:rFonts w:ascii="Verdana" w:hAnsi="Verdana"/>
          <w:sz w:val="20"/>
          <w:lang w:val="en-GB"/>
        </w:rPr>
        <w:t>been assessed for their</w:t>
      </w:r>
      <w:r w:rsidRPr="001B0749">
        <w:rPr>
          <w:rFonts w:ascii="Verdana" w:hAnsi="Verdana"/>
          <w:sz w:val="20"/>
          <w:lang w:val="en-GB"/>
        </w:rPr>
        <w:t xml:space="preserve"> potential to influence </w:t>
      </w:r>
      <w:r w:rsidR="000578F2">
        <w:rPr>
          <w:rFonts w:ascii="Verdana" w:hAnsi="Verdana"/>
          <w:sz w:val="20"/>
          <w:lang w:val="en-GB"/>
        </w:rPr>
        <w:t>MCCPs</w:t>
      </w:r>
      <w:r w:rsidR="00607BBD">
        <w:rPr>
          <w:rFonts w:ascii="Verdana" w:hAnsi="Verdana"/>
          <w:sz w:val="20"/>
          <w:lang w:val="en-GB"/>
        </w:rPr>
        <w:t xml:space="preserve"> </w:t>
      </w:r>
      <w:r w:rsidR="00F16D37">
        <w:rPr>
          <w:rFonts w:ascii="Verdana" w:hAnsi="Verdana"/>
          <w:sz w:val="20"/>
          <w:lang w:val="en-GB"/>
        </w:rPr>
        <w:t>releases</w:t>
      </w:r>
      <w:r w:rsidRPr="001B0749">
        <w:rPr>
          <w:rFonts w:ascii="Verdana" w:hAnsi="Verdana"/>
          <w:sz w:val="20"/>
          <w:lang w:val="en-GB"/>
        </w:rPr>
        <w:t xml:space="preserve"> to the environment. </w:t>
      </w:r>
    </w:p>
    <w:p w14:paraId="04104D22" w14:textId="77777777" w:rsidR="000E324D" w:rsidRPr="001B0749" w:rsidRDefault="000E324D" w:rsidP="000E324D">
      <w:pPr>
        <w:pStyle w:val="BodyText"/>
        <w:spacing w:after="0"/>
        <w:rPr>
          <w:rFonts w:ascii="Verdana" w:hAnsi="Verdana"/>
          <w:sz w:val="20"/>
        </w:rPr>
      </w:pPr>
    </w:p>
    <w:p w14:paraId="006BB70B" w14:textId="77777777" w:rsidR="000E324D" w:rsidRPr="001B0749" w:rsidRDefault="000E324D" w:rsidP="00943C49">
      <w:pPr>
        <w:pStyle w:val="BodyText"/>
        <w:numPr>
          <w:ilvl w:val="0"/>
          <w:numId w:val="8"/>
        </w:numPr>
        <w:spacing w:after="0"/>
        <w:rPr>
          <w:rFonts w:ascii="Verdana" w:hAnsi="Verdana"/>
          <w:sz w:val="20"/>
        </w:rPr>
      </w:pPr>
      <w:r w:rsidRPr="001B0749">
        <w:rPr>
          <w:rFonts w:ascii="Verdana" w:hAnsi="Verdana"/>
          <w:sz w:val="20"/>
        </w:rPr>
        <w:t>REACH: The following elements of REACH have the potential to control emissions to the environment</w:t>
      </w:r>
    </w:p>
    <w:p w14:paraId="3F59E27C" w14:textId="77777777" w:rsidR="000E324D" w:rsidRPr="001B0749" w:rsidRDefault="000E324D" w:rsidP="00943C49">
      <w:pPr>
        <w:pStyle w:val="BodyText"/>
        <w:numPr>
          <w:ilvl w:val="1"/>
          <w:numId w:val="8"/>
        </w:numPr>
        <w:spacing w:after="0"/>
        <w:rPr>
          <w:rFonts w:ascii="Verdana" w:hAnsi="Verdana"/>
          <w:sz w:val="20"/>
        </w:rPr>
      </w:pPr>
      <w:r w:rsidRPr="001B0749">
        <w:rPr>
          <w:rFonts w:ascii="Verdana" w:hAnsi="Verdana"/>
          <w:sz w:val="20"/>
        </w:rPr>
        <w:t>Registration</w:t>
      </w:r>
    </w:p>
    <w:p w14:paraId="76527F71" w14:textId="77777777" w:rsidR="000E324D" w:rsidRPr="001B0749" w:rsidRDefault="000E324D" w:rsidP="00943C49">
      <w:pPr>
        <w:pStyle w:val="BodyText"/>
        <w:numPr>
          <w:ilvl w:val="1"/>
          <w:numId w:val="8"/>
        </w:numPr>
        <w:spacing w:after="0"/>
        <w:rPr>
          <w:rFonts w:ascii="Verdana" w:hAnsi="Verdana"/>
          <w:sz w:val="20"/>
        </w:rPr>
      </w:pPr>
      <w:r w:rsidRPr="001B0749">
        <w:rPr>
          <w:rFonts w:ascii="Verdana" w:hAnsi="Verdana"/>
          <w:sz w:val="20"/>
        </w:rPr>
        <w:t>Authorisation</w:t>
      </w:r>
    </w:p>
    <w:p w14:paraId="55F019E5" w14:textId="77777777" w:rsidR="000E324D" w:rsidRPr="001B0749" w:rsidRDefault="000E324D" w:rsidP="00943C49">
      <w:pPr>
        <w:pStyle w:val="BodyText"/>
        <w:numPr>
          <w:ilvl w:val="1"/>
          <w:numId w:val="8"/>
        </w:numPr>
        <w:spacing w:after="0"/>
        <w:rPr>
          <w:rFonts w:ascii="Verdana" w:hAnsi="Verdana"/>
          <w:sz w:val="20"/>
        </w:rPr>
      </w:pPr>
      <w:r w:rsidRPr="001B0749">
        <w:rPr>
          <w:rFonts w:ascii="Verdana" w:hAnsi="Verdana"/>
          <w:sz w:val="20"/>
        </w:rPr>
        <w:t>Restriction</w:t>
      </w:r>
    </w:p>
    <w:p w14:paraId="605CEFA0" w14:textId="3FEDEE73" w:rsidR="000E324D" w:rsidRPr="001B0749" w:rsidRDefault="002210BB" w:rsidP="00943C49">
      <w:pPr>
        <w:pStyle w:val="BodyText"/>
        <w:numPr>
          <w:ilvl w:val="0"/>
          <w:numId w:val="8"/>
        </w:numPr>
        <w:spacing w:after="0"/>
        <w:rPr>
          <w:rFonts w:ascii="Verdana" w:hAnsi="Verdana"/>
          <w:sz w:val="20"/>
        </w:rPr>
      </w:pPr>
      <w:r>
        <w:rPr>
          <w:rFonts w:ascii="Verdana" w:hAnsi="Verdana"/>
          <w:sz w:val="20"/>
        </w:rPr>
        <w:t xml:space="preserve">The </w:t>
      </w:r>
      <w:r w:rsidR="000E324D" w:rsidRPr="001B0749">
        <w:rPr>
          <w:rFonts w:ascii="Verdana" w:hAnsi="Verdana"/>
          <w:sz w:val="20"/>
        </w:rPr>
        <w:t xml:space="preserve">RoHS Directive (2011/65/EU)    </w:t>
      </w:r>
    </w:p>
    <w:p w14:paraId="6861BD71" w14:textId="18819D98" w:rsidR="000E324D" w:rsidRPr="001B0749" w:rsidRDefault="000E324D" w:rsidP="00943C49">
      <w:pPr>
        <w:pStyle w:val="BodyText"/>
        <w:numPr>
          <w:ilvl w:val="0"/>
          <w:numId w:val="8"/>
        </w:numPr>
        <w:spacing w:after="0"/>
        <w:rPr>
          <w:rFonts w:ascii="Verdana" w:hAnsi="Verdana"/>
          <w:sz w:val="20"/>
        </w:rPr>
      </w:pPr>
      <w:r w:rsidRPr="001B0749">
        <w:rPr>
          <w:rFonts w:ascii="Verdana" w:hAnsi="Verdana"/>
          <w:sz w:val="20"/>
        </w:rPr>
        <w:t>The Persistent Organic Pollutants Regulation</w:t>
      </w:r>
      <w:r w:rsidR="00C1273B">
        <w:rPr>
          <w:rFonts w:ascii="Verdana" w:hAnsi="Verdana"/>
          <w:sz w:val="20"/>
        </w:rPr>
        <w:t xml:space="preserve"> (</w:t>
      </w:r>
      <w:r w:rsidRPr="001B0749">
        <w:rPr>
          <w:rFonts w:ascii="Verdana" w:hAnsi="Verdana"/>
          <w:sz w:val="20"/>
        </w:rPr>
        <w:t>(E</w:t>
      </w:r>
      <w:r w:rsidR="00C1273B">
        <w:rPr>
          <w:rFonts w:ascii="Verdana" w:hAnsi="Verdana"/>
          <w:sz w:val="20"/>
        </w:rPr>
        <w:t>U) 2019</w:t>
      </w:r>
      <w:r w:rsidRPr="001B0749">
        <w:rPr>
          <w:rFonts w:ascii="Verdana" w:hAnsi="Verdana"/>
          <w:sz w:val="20"/>
        </w:rPr>
        <w:t>/</w:t>
      </w:r>
      <w:r w:rsidR="00C1273B">
        <w:rPr>
          <w:rFonts w:ascii="Verdana" w:hAnsi="Verdana"/>
          <w:sz w:val="20"/>
        </w:rPr>
        <w:t>1021)</w:t>
      </w:r>
    </w:p>
    <w:p w14:paraId="08AD7C9C" w14:textId="25E18DDE" w:rsidR="000E324D" w:rsidRPr="001B0749" w:rsidRDefault="002210BB" w:rsidP="00943C49">
      <w:pPr>
        <w:pStyle w:val="ListParagraph"/>
        <w:numPr>
          <w:ilvl w:val="0"/>
          <w:numId w:val="8"/>
        </w:numPr>
        <w:jc w:val="both"/>
        <w:rPr>
          <w:rFonts w:ascii="Verdana" w:hAnsi="Verdana"/>
          <w:sz w:val="20"/>
          <w:szCs w:val="20"/>
          <w:lang w:val="en-GB"/>
        </w:rPr>
      </w:pPr>
      <w:r>
        <w:rPr>
          <w:rFonts w:ascii="Verdana" w:hAnsi="Verdana"/>
          <w:sz w:val="20"/>
          <w:szCs w:val="20"/>
          <w:lang w:val="en-GB"/>
        </w:rPr>
        <w:t xml:space="preserve">The </w:t>
      </w:r>
      <w:r w:rsidR="000E324D" w:rsidRPr="001B0749">
        <w:rPr>
          <w:rFonts w:ascii="Verdana" w:hAnsi="Verdana"/>
          <w:sz w:val="20"/>
          <w:szCs w:val="20"/>
          <w:lang w:val="en-GB"/>
        </w:rPr>
        <w:t>Water Framework Directive (2000/60/EC)</w:t>
      </w:r>
    </w:p>
    <w:p w14:paraId="02921703" w14:textId="590C3A30" w:rsidR="000E324D" w:rsidRPr="001B0749" w:rsidRDefault="002210BB" w:rsidP="00943C49">
      <w:pPr>
        <w:pStyle w:val="ListParagraph"/>
        <w:numPr>
          <w:ilvl w:val="0"/>
          <w:numId w:val="8"/>
        </w:numPr>
        <w:jc w:val="both"/>
        <w:rPr>
          <w:rFonts w:ascii="Verdana" w:hAnsi="Verdana"/>
          <w:sz w:val="20"/>
          <w:szCs w:val="20"/>
          <w:lang w:val="en-GB"/>
        </w:rPr>
      </w:pPr>
      <w:r>
        <w:rPr>
          <w:rFonts w:ascii="Verdana" w:hAnsi="Verdana"/>
          <w:sz w:val="20"/>
          <w:szCs w:val="20"/>
          <w:lang w:val="en-GB"/>
        </w:rPr>
        <w:t xml:space="preserve">The </w:t>
      </w:r>
      <w:r w:rsidR="000E324D" w:rsidRPr="001B0749">
        <w:rPr>
          <w:rFonts w:ascii="Verdana" w:hAnsi="Verdana"/>
          <w:sz w:val="20"/>
          <w:szCs w:val="20"/>
          <w:lang w:val="en-GB"/>
        </w:rPr>
        <w:t>Industrial Emissions Directive (2010/75/EU)</w:t>
      </w:r>
    </w:p>
    <w:p w14:paraId="11121579" w14:textId="77777777" w:rsidR="002210BB" w:rsidRDefault="002210BB" w:rsidP="00943C49">
      <w:pPr>
        <w:pStyle w:val="ListParagraph"/>
        <w:numPr>
          <w:ilvl w:val="0"/>
          <w:numId w:val="8"/>
        </w:numPr>
        <w:jc w:val="both"/>
        <w:rPr>
          <w:rFonts w:ascii="Verdana" w:hAnsi="Verdana"/>
          <w:color w:val="000000"/>
          <w:sz w:val="20"/>
          <w:szCs w:val="20"/>
          <w:lang w:val="en-GB"/>
        </w:rPr>
      </w:pPr>
      <w:r>
        <w:rPr>
          <w:rFonts w:ascii="Verdana" w:hAnsi="Verdana"/>
          <w:sz w:val="20"/>
          <w:szCs w:val="20"/>
          <w:lang w:val="en-GB"/>
        </w:rPr>
        <w:t xml:space="preserve">The </w:t>
      </w:r>
      <w:r w:rsidR="000E324D" w:rsidRPr="001B0749">
        <w:rPr>
          <w:rFonts w:ascii="Verdana" w:hAnsi="Verdana"/>
          <w:sz w:val="20"/>
          <w:szCs w:val="20"/>
          <w:lang w:val="en-GB"/>
        </w:rPr>
        <w:t xml:space="preserve">Waste Framework Directive </w:t>
      </w:r>
      <w:r w:rsidR="000E324D" w:rsidRPr="001B0749">
        <w:rPr>
          <w:rFonts w:ascii="Verdana" w:hAnsi="Verdana"/>
          <w:color w:val="000000"/>
          <w:sz w:val="20"/>
          <w:szCs w:val="20"/>
          <w:lang w:val="en-GB"/>
        </w:rPr>
        <w:t>(2008/98/EC)</w:t>
      </w:r>
    </w:p>
    <w:p w14:paraId="071BAD01" w14:textId="77777777" w:rsidR="000E324D" w:rsidRPr="001B0749" w:rsidRDefault="000E324D" w:rsidP="00943C49">
      <w:pPr>
        <w:pStyle w:val="ListParagraph"/>
        <w:numPr>
          <w:ilvl w:val="0"/>
          <w:numId w:val="8"/>
        </w:numPr>
        <w:jc w:val="both"/>
        <w:rPr>
          <w:rFonts w:ascii="Verdana" w:hAnsi="Verdana" w:cs="Arial"/>
          <w:color w:val="000000"/>
          <w:sz w:val="20"/>
          <w:szCs w:val="20"/>
          <w:lang w:val="en-GB"/>
        </w:rPr>
      </w:pPr>
      <w:r w:rsidRPr="001B0749">
        <w:rPr>
          <w:rFonts w:ascii="Verdana" w:hAnsi="Verdana"/>
          <w:sz w:val="20"/>
          <w:szCs w:val="20"/>
          <w:lang w:val="en-GB"/>
        </w:rPr>
        <w:t>Voluntary actions</w:t>
      </w:r>
    </w:p>
    <w:p w14:paraId="4BC8BA08" w14:textId="77777777" w:rsidR="000E324D" w:rsidRPr="001B0749" w:rsidRDefault="000E324D" w:rsidP="000E324D">
      <w:pPr>
        <w:pStyle w:val="BodyText"/>
        <w:spacing w:after="0"/>
        <w:ind w:left="720"/>
        <w:rPr>
          <w:rFonts w:ascii="Verdana" w:hAnsi="Verdana"/>
          <w:sz w:val="20"/>
        </w:rPr>
      </w:pPr>
      <w:r w:rsidRPr="001B0749">
        <w:rPr>
          <w:rFonts w:ascii="Verdana" w:hAnsi="Verdana"/>
          <w:sz w:val="20"/>
        </w:rPr>
        <w:t xml:space="preserve"> </w:t>
      </w:r>
    </w:p>
    <w:p w14:paraId="6E95A75C" w14:textId="779476A2" w:rsidR="000E324D" w:rsidRDefault="000E324D" w:rsidP="000E324D">
      <w:pPr>
        <w:pStyle w:val="BodyText"/>
        <w:spacing w:after="0"/>
        <w:rPr>
          <w:rFonts w:ascii="Verdana" w:hAnsi="Verdana"/>
          <w:sz w:val="20"/>
        </w:rPr>
      </w:pPr>
      <w:r w:rsidRPr="001B0749">
        <w:rPr>
          <w:rFonts w:ascii="Verdana" w:hAnsi="Verdana"/>
          <w:sz w:val="20"/>
        </w:rPr>
        <w:t xml:space="preserve">The baseline against which </w:t>
      </w:r>
      <w:r w:rsidR="003C08A0" w:rsidRPr="002210BB">
        <w:rPr>
          <w:rFonts w:ascii="Verdana" w:hAnsi="Verdana"/>
          <w:sz w:val="20"/>
          <w:u w:val="single"/>
        </w:rPr>
        <w:t>additional</w:t>
      </w:r>
      <w:r w:rsidR="003C08A0" w:rsidRPr="00E234D7">
        <w:rPr>
          <w:rFonts w:ascii="Verdana" w:hAnsi="Verdana"/>
          <w:sz w:val="20"/>
        </w:rPr>
        <w:t xml:space="preserve"> </w:t>
      </w:r>
      <w:r w:rsidRPr="001B0749">
        <w:rPr>
          <w:rFonts w:ascii="Verdana" w:hAnsi="Verdana"/>
          <w:sz w:val="20"/>
        </w:rPr>
        <w:t xml:space="preserve">risk management options </w:t>
      </w:r>
      <w:r w:rsidR="00BF65E9">
        <w:rPr>
          <w:rFonts w:ascii="Verdana" w:hAnsi="Verdana"/>
          <w:sz w:val="20"/>
        </w:rPr>
        <w:t xml:space="preserve">have been </w:t>
      </w:r>
      <w:r w:rsidRPr="001B0749">
        <w:rPr>
          <w:rFonts w:ascii="Verdana" w:hAnsi="Verdana"/>
          <w:sz w:val="20"/>
        </w:rPr>
        <w:t xml:space="preserve">assessed is the registration of </w:t>
      </w:r>
      <w:r w:rsidR="000578F2">
        <w:rPr>
          <w:rFonts w:ascii="Verdana" w:hAnsi="Verdana"/>
          <w:sz w:val="20"/>
        </w:rPr>
        <w:t>MCCPs</w:t>
      </w:r>
      <w:r w:rsidR="00607BBD">
        <w:rPr>
          <w:rFonts w:ascii="Verdana" w:hAnsi="Verdana"/>
          <w:sz w:val="20"/>
        </w:rPr>
        <w:t xml:space="preserve"> </w:t>
      </w:r>
      <w:r w:rsidRPr="001B0749">
        <w:rPr>
          <w:rFonts w:ascii="Verdana" w:hAnsi="Verdana"/>
          <w:sz w:val="20"/>
        </w:rPr>
        <w:t xml:space="preserve">under REACH. This represents the situation if Member States take no additional regulatory action. </w:t>
      </w:r>
    </w:p>
    <w:p w14:paraId="787945D8" w14:textId="77777777" w:rsidR="00AA67D4" w:rsidRDefault="00AA67D4" w:rsidP="000E324D">
      <w:pPr>
        <w:pStyle w:val="BodyText"/>
        <w:spacing w:after="0"/>
        <w:rPr>
          <w:rFonts w:ascii="Verdana" w:hAnsi="Verdana"/>
          <w:sz w:val="20"/>
        </w:rPr>
      </w:pPr>
    </w:p>
    <w:p w14:paraId="4CD9CEB3" w14:textId="77777777" w:rsidR="00605482" w:rsidRDefault="00605482" w:rsidP="000E324D">
      <w:pPr>
        <w:pStyle w:val="BodyText"/>
        <w:spacing w:after="0"/>
        <w:rPr>
          <w:rFonts w:ascii="Verdana" w:hAnsi="Verdana"/>
          <w:b/>
          <w:sz w:val="20"/>
        </w:rPr>
      </w:pPr>
    </w:p>
    <w:p w14:paraId="5CFD27D3" w14:textId="77777777" w:rsidR="007F1A30" w:rsidRDefault="007F1A30" w:rsidP="000E324D">
      <w:pPr>
        <w:pStyle w:val="BodyText"/>
        <w:spacing w:after="0"/>
        <w:rPr>
          <w:rFonts w:ascii="Verdana" w:hAnsi="Verdana"/>
          <w:b/>
          <w:sz w:val="20"/>
        </w:rPr>
      </w:pPr>
    </w:p>
    <w:p w14:paraId="76EDACA1" w14:textId="77777777" w:rsidR="007F1A30" w:rsidRDefault="007F1A30" w:rsidP="000E324D">
      <w:pPr>
        <w:pStyle w:val="BodyText"/>
        <w:spacing w:after="0"/>
        <w:rPr>
          <w:rFonts w:ascii="Verdana" w:hAnsi="Verdana"/>
          <w:b/>
          <w:sz w:val="20"/>
        </w:rPr>
      </w:pPr>
    </w:p>
    <w:p w14:paraId="17049AAC" w14:textId="77777777" w:rsidR="007F1A30" w:rsidRDefault="007F1A30" w:rsidP="000E324D">
      <w:pPr>
        <w:pStyle w:val="BodyText"/>
        <w:spacing w:after="0"/>
        <w:rPr>
          <w:rFonts w:ascii="Verdana" w:hAnsi="Verdana"/>
          <w:b/>
          <w:sz w:val="20"/>
        </w:rPr>
      </w:pPr>
    </w:p>
    <w:p w14:paraId="26AE6777" w14:textId="77777777" w:rsidR="007F1A30" w:rsidRDefault="007F1A30" w:rsidP="000E324D">
      <w:pPr>
        <w:pStyle w:val="BodyText"/>
        <w:spacing w:after="0"/>
        <w:rPr>
          <w:rFonts w:ascii="Verdana" w:hAnsi="Verdana"/>
          <w:b/>
          <w:sz w:val="20"/>
        </w:rPr>
      </w:pPr>
    </w:p>
    <w:p w14:paraId="54A3C557" w14:textId="303706E7" w:rsidR="000E324D" w:rsidRPr="001B0749" w:rsidRDefault="002210BB" w:rsidP="000E324D">
      <w:pPr>
        <w:pStyle w:val="BodyText"/>
        <w:spacing w:after="0"/>
        <w:rPr>
          <w:rFonts w:ascii="Verdana" w:hAnsi="Verdana"/>
          <w:b/>
          <w:sz w:val="20"/>
        </w:rPr>
      </w:pPr>
      <w:r>
        <w:rPr>
          <w:rFonts w:ascii="Verdana" w:hAnsi="Verdana"/>
          <w:b/>
          <w:sz w:val="20"/>
        </w:rPr>
        <w:lastRenderedPageBreak/>
        <w:t xml:space="preserve">REACH </w:t>
      </w:r>
      <w:r w:rsidR="000E324D" w:rsidRPr="001B0749">
        <w:rPr>
          <w:rFonts w:ascii="Verdana" w:hAnsi="Verdana"/>
          <w:b/>
          <w:sz w:val="20"/>
        </w:rPr>
        <w:t>Registration</w:t>
      </w:r>
    </w:p>
    <w:p w14:paraId="29D67499" w14:textId="77777777" w:rsidR="000E324D" w:rsidRPr="001B0749" w:rsidRDefault="000E324D" w:rsidP="000E324D">
      <w:pPr>
        <w:pStyle w:val="BodyText"/>
        <w:spacing w:after="0"/>
        <w:rPr>
          <w:rFonts w:ascii="Verdana" w:hAnsi="Verdana"/>
          <w:b/>
          <w:sz w:val="20"/>
        </w:rPr>
      </w:pPr>
    </w:p>
    <w:p w14:paraId="4AC9D120" w14:textId="443C6357" w:rsidR="00713A52" w:rsidRPr="00713A52" w:rsidRDefault="000E324D" w:rsidP="000E324D">
      <w:pPr>
        <w:spacing w:after="0"/>
        <w:jc w:val="both"/>
        <w:rPr>
          <w:rFonts w:ascii="Verdana" w:hAnsi="Verdana"/>
          <w:sz w:val="20"/>
          <w:lang w:val="en-GB"/>
        </w:rPr>
      </w:pPr>
      <w:r w:rsidRPr="00713A52">
        <w:rPr>
          <w:rFonts w:ascii="Verdana" w:hAnsi="Verdana"/>
          <w:sz w:val="20"/>
          <w:lang w:val="en-GB"/>
        </w:rPr>
        <w:t xml:space="preserve">The ECHA website confirms </w:t>
      </w:r>
      <w:r w:rsidR="00713A52" w:rsidRPr="00713A52">
        <w:rPr>
          <w:rFonts w:ascii="Verdana" w:hAnsi="Verdana"/>
          <w:sz w:val="20"/>
          <w:lang w:val="en-GB"/>
        </w:rPr>
        <w:t xml:space="preserve">10 active </w:t>
      </w:r>
      <w:r w:rsidR="000578F2">
        <w:rPr>
          <w:rFonts w:ascii="Verdana" w:hAnsi="Verdana"/>
          <w:sz w:val="20"/>
          <w:lang w:val="en-GB"/>
        </w:rPr>
        <w:t>MCCPs</w:t>
      </w:r>
      <w:r w:rsidR="00607BBD">
        <w:rPr>
          <w:rFonts w:ascii="Verdana" w:hAnsi="Verdana"/>
          <w:sz w:val="20"/>
          <w:lang w:val="en-GB"/>
        </w:rPr>
        <w:t xml:space="preserve"> </w:t>
      </w:r>
      <w:r w:rsidR="00713A52" w:rsidRPr="00713A52">
        <w:rPr>
          <w:rFonts w:ascii="Verdana" w:hAnsi="Verdana"/>
          <w:sz w:val="20"/>
          <w:lang w:val="en-GB"/>
        </w:rPr>
        <w:t xml:space="preserve">registrations </w:t>
      </w:r>
      <w:r w:rsidR="00795AF0" w:rsidRPr="00713A52">
        <w:rPr>
          <w:rFonts w:ascii="Verdana" w:hAnsi="Verdana"/>
          <w:sz w:val="20"/>
          <w:lang w:val="en-GB"/>
        </w:rPr>
        <w:t xml:space="preserve">as of </w:t>
      </w:r>
      <w:r w:rsidR="00713A52" w:rsidRPr="00713A52">
        <w:rPr>
          <w:rFonts w:ascii="Verdana" w:hAnsi="Verdana"/>
          <w:sz w:val="20"/>
          <w:lang w:val="en-GB"/>
        </w:rPr>
        <w:t xml:space="preserve">15 August </w:t>
      </w:r>
      <w:r w:rsidRPr="00713A52">
        <w:rPr>
          <w:rFonts w:ascii="Verdana" w:hAnsi="Verdana"/>
          <w:sz w:val="20"/>
          <w:lang w:val="en-GB"/>
        </w:rPr>
        <w:t xml:space="preserve"> 201</w:t>
      </w:r>
      <w:r w:rsidR="00BF65E9" w:rsidRPr="00713A52">
        <w:rPr>
          <w:rFonts w:ascii="Verdana" w:hAnsi="Verdana"/>
          <w:sz w:val="20"/>
          <w:lang w:val="en-GB"/>
        </w:rPr>
        <w:t>9</w:t>
      </w:r>
      <w:r w:rsidR="00713A52" w:rsidRPr="00713A52">
        <w:rPr>
          <w:rFonts w:ascii="Verdana" w:hAnsi="Verdana"/>
          <w:sz w:val="20"/>
          <w:lang w:val="en-GB"/>
        </w:rPr>
        <w:t xml:space="preserve">, with 1 joint </w:t>
      </w:r>
      <w:r w:rsidRPr="00713A52">
        <w:rPr>
          <w:rFonts w:ascii="Verdana" w:hAnsi="Verdana"/>
          <w:sz w:val="20"/>
          <w:lang w:val="en-GB"/>
        </w:rPr>
        <w:t>registration</w:t>
      </w:r>
      <w:r w:rsidR="00713A52" w:rsidRPr="00713A52">
        <w:rPr>
          <w:rFonts w:ascii="Verdana" w:hAnsi="Verdana"/>
          <w:sz w:val="20"/>
          <w:lang w:val="en-GB"/>
        </w:rPr>
        <w:t xml:space="preserve"> dossier</w:t>
      </w:r>
      <w:r w:rsidRPr="00713A52">
        <w:rPr>
          <w:rFonts w:ascii="Verdana" w:hAnsi="Verdana"/>
          <w:sz w:val="20"/>
          <w:lang w:val="en-GB"/>
        </w:rPr>
        <w:t xml:space="preserve">. </w:t>
      </w:r>
      <w:r w:rsidR="004A7B58">
        <w:rPr>
          <w:rFonts w:ascii="Verdana" w:hAnsi="Verdana"/>
          <w:sz w:val="20"/>
          <w:lang w:val="en-GB"/>
        </w:rPr>
        <w:t xml:space="preserve">The Registrants do not currently identify </w:t>
      </w:r>
      <w:r w:rsidR="000578F2">
        <w:rPr>
          <w:rFonts w:ascii="Verdana" w:hAnsi="Verdana"/>
          <w:sz w:val="20"/>
          <w:lang w:val="en-GB"/>
        </w:rPr>
        <w:t>MCCPs</w:t>
      </w:r>
      <w:r w:rsidR="004A7B58">
        <w:rPr>
          <w:rFonts w:ascii="Verdana" w:hAnsi="Verdana"/>
          <w:sz w:val="20"/>
          <w:lang w:val="en-GB"/>
        </w:rPr>
        <w:t xml:space="preserve"> as a PBT substance.</w:t>
      </w:r>
    </w:p>
    <w:p w14:paraId="7AC8F829" w14:textId="77777777" w:rsidR="000E324D" w:rsidRDefault="000E324D" w:rsidP="000E324D">
      <w:pPr>
        <w:spacing w:after="0"/>
        <w:jc w:val="both"/>
        <w:rPr>
          <w:rFonts w:ascii="Verdana" w:hAnsi="Verdana"/>
          <w:sz w:val="20"/>
          <w:lang w:val="en-GB"/>
        </w:rPr>
      </w:pPr>
    </w:p>
    <w:p w14:paraId="0E2EE303" w14:textId="3149B01D" w:rsidR="000E324D" w:rsidRPr="001B0749" w:rsidRDefault="000E324D" w:rsidP="000E324D">
      <w:pPr>
        <w:pStyle w:val="BodyText"/>
        <w:spacing w:after="0"/>
        <w:rPr>
          <w:rFonts w:ascii="Verdana" w:hAnsi="Verdana"/>
          <w:sz w:val="20"/>
        </w:rPr>
      </w:pPr>
      <w:r w:rsidRPr="001B0749">
        <w:rPr>
          <w:rFonts w:ascii="Verdana" w:hAnsi="Verdana"/>
          <w:sz w:val="20"/>
        </w:rPr>
        <w:t xml:space="preserve">Regardless of the current </w:t>
      </w:r>
      <w:r>
        <w:rPr>
          <w:rFonts w:ascii="Verdana" w:hAnsi="Verdana"/>
          <w:sz w:val="20"/>
        </w:rPr>
        <w:t>registration status</w:t>
      </w:r>
      <w:r w:rsidRPr="001B0749">
        <w:rPr>
          <w:rFonts w:ascii="Verdana" w:hAnsi="Verdana"/>
          <w:sz w:val="20"/>
        </w:rPr>
        <w:t xml:space="preserve">, it </w:t>
      </w:r>
      <w:r>
        <w:rPr>
          <w:rFonts w:ascii="Verdana" w:hAnsi="Verdana"/>
          <w:sz w:val="20"/>
        </w:rPr>
        <w:t>is</w:t>
      </w:r>
      <w:r w:rsidRPr="001B0749">
        <w:rPr>
          <w:rFonts w:ascii="Verdana" w:hAnsi="Verdana"/>
          <w:sz w:val="20"/>
        </w:rPr>
        <w:t xml:space="preserve"> </w:t>
      </w:r>
      <w:r w:rsidR="009A50EF">
        <w:rPr>
          <w:rFonts w:ascii="Verdana" w:hAnsi="Verdana"/>
          <w:sz w:val="20"/>
        </w:rPr>
        <w:t>not possible</w:t>
      </w:r>
      <w:r w:rsidRPr="001B0749">
        <w:rPr>
          <w:rFonts w:ascii="Verdana" w:hAnsi="Verdana"/>
          <w:sz w:val="20"/>
        </w:rPr>
        <w:t xml:space="preserve"> to manage releases from imported articles through the registration process</w:t>
      </w:r>
      <w:r w:rsidR="00E234D7">
        <w:rPr>
          <w:rFonts w:ascii="Verdana" w:hAnsi="Verdana"/>
          <w:sz w:val="20"/>
        </w:rPr>
        <w:t>, due to the lack of information on amounts</w:t>
      </w:r>
      <w:r w:rsidR="009A50EF">
        <w:rPr>
          <w:rFonts w:ascii="Verdana" w:hAnsi="Verdana"/>
          <w:sz w:val="20"/>
        </w:rPr>
        <w:t xml:space="preserve"> and product types,</w:t>
      </w:r>
      <w:r w:rsidR="00E234D7">
        <w:rPr>
          <w:rFonts w:ascii="Verdana" w:hAnsi="Verdana"/>
          <w:sz w:val="20"/>
        </w:rPr>
        <w:t xml:space="preserve"> and </w:t>
      </w:r>
      <w:r w:rsidR="009A50EF">
        <w:rPr>
          <w:rFonts w:ascii="Verdana" w:hAnsi="Verdana"/>
          <w:sz w:val="20"/>
        </w:rPr>
        <w:t>unknown identity of all relevant actors in the supply chain</w:t>
      </w:r>
      <w:r w:rsidRPr="001B0749">
        <w:rPr>
          <w:rFonts w:ascii="Verdana" w:hAnsi="Verdana"/>
          <w:sz w:val="20"/>
        </w:rPr>
        <w:t>.</w:t>
      </w:r>
    </w:p>
    <w:p w14:paraId="37C7AA74" w14:textId="77777777" w:rsidR="000E324D" w:rsidRPr="001B0749" w:rsidRDefault="000E324D" w:rsidP="000E324D">
      <w:pPr>
        <w:pStyle w:val="BodyText"/>
        <w:spacing w:after="0"/>
        <w:rPr>
          <w:rFonts w:ascii="Verdana" w:hAnsi="Verdana"/>
          <w:b/>
          <w:sz w:val="20"/>
        </w:rPr>
      </w:pPr>
    </w:p>
    <w:p w14:paraId="01E2FF1C" w14:textId="0D0D18B4" w:rsidR="000E324D" w:rsidRPr="001B0749" w:rsidRDefault="00AA67D4" w:rsidP="000E324D">
      <w:pPr>
        <w:pStyle w:val="BodyText"/>
        <w:spacing w:after="0"/>
        <w:rPr>
          <w:rFonts w:ascii="Verdana" w:hAnsi="Verdana"/>
          <w:b/>
          <w:sz w:val="20"/>
        </w:rPr>
      </w:pPr>
      <w:r>
        <w:rPr>
          <w:rFonts w:ascii="Verdana" w:hAnsi="Verdana"/>
          <w:b/>
          <w:sz w:val="20"/>
        </w:rPr>
        <w:t xml:space="preserve">REACH </w:t>
      </w:r>
      <w:r w:rsidR="000E324D" w:rsidRPr="001B0749">
        <w:rPr>
          <w:rFonts w:ascii="Verdana" w:hAnsi="Verdana"/>
          <w:b/>
          <w:sz w:val="20"/>
        </w:rPr>
        <w:t>Authorisation (including candidate listing)</w:t>
      </w:r>
    </w:p>
    <w:p w14:paraId="7C6175EA" w14:textId="77777777" w:rsidR="000E324D" w:rsidRPr="001B0749" w:rsidRDefault="000E324D" w:rsidP="000E324D">
      <w:pPr>
        <w:pStyle w:val="BodyText"/>
        <w:spacing w:after="0"/>
        <w:rPr>
          <w:rFonts w:ascii="Verdana" w:hAnsi="Verdana"/>
          <w:sz w:val="20"/>
        </w:rPr>
      </w:pPr>
    </w:p>
    <w:p w14:paraId="2A979C52" w14:textId="2FFB643C" w:rsidR="000E324D" w:rsidRPr="001B0749" w:rsidRDefault="000578F2" w:rsidP="000E324D">
      <w:pPr>
        <w:pStyle w:val="BodyText"/>
        <w:spacing w:after="0"/>
        <w:rPr>
          <w:rFonts w:ascii="Verdana" w:hAnsi="Verdana"/>
          <w:sz w:val="20"/>
        </w:rPr>
      </w:pPr>
      <w:r>
        <w:rPr>
          <w:rFonts w:ascii="Verdana" w:hAnsi="Verdana"/>
          <w:sz w:val="20"/>
        </w:rPr>
        <w:t>MCCPs</w:t>
      </w:r>
      <w:r w:rsidR="00607BBD">
        <w:rPr>
          <w:rFonts w:ascii="Verdana" w:hAnsi="Verdana"/>
          <w:sz w:val="20"/>
        </w:rPr>
        <w:t xml:space="preserve"> </w:t>
      </w:r>
      <w:r w:rsidR="000E324D" w:rsidRPr="001B0749">
        <w:rPr>
          <w:rFonts w:ascii="Verdana" w:hAnsi="Verdana"/>
          <w:sz w:val="20"/>
        </w:rPr>
        <w:t>meets the relevancy criteria in the Roadmap (</w:t>
      </w:r>
      <w:r w:rsidR="00F123FD">
        <w:rPr>
          <w:rFonts w:ascii="Verdana" w:hAnsi="Verdana"/>
          <w:sz w:val="20"/>
        </w:rPr>
        <w:fldChar w:fldCharType="begin"/>
      </w:r>
      <w:r w:rsidR="00F123FD">
        <w:rPr>
          <w:rFonts w:ascii="Verdana" w:hAnsi="Verdana"/>
          <w:sz w:val="20"/>
        </w:rPr>
        <w:instrText xml:space="preserve"> REF _Ref24112792 \h </w:instrText>
      </w:r>
      <w:r w:rsidR="00F123FD">
        <w:rPr>
          <w:rFonts w:ascii="Verdana" w:hAnsi="Verdana"/>
          <w:sz w:val="20"/>
        </w:rPr>
      </w:r>
      <w:r w:rsidR="00F123FD">
        <w:rPr>
          <w:rFonts w:ascii="Verdana" w:hAnsi="Verdana"/>
          <w:sz w:val="20"/>
        </w:rPr>
        <w:fldChar w:fldCharType="separate"/>
      </w:r>
      <w:r w:rsidR="00F123FD" w:rsidRPr="009A50EF">
        <w:rPr>
          <w:rFonts w:ascii="Verdana" w:hAnsi="Verdana"/>
          <w:sz w:val="20"/>
        </w:rPr>
        <w:t xml:space="preserve">Table </w:t>
      </w:r>
      <w:r w:rsidR="00F123FD">
        <w:rPr>
          <w:rFonts w:ascii="Verdana" w:hAnsi="Verdana"/>
          <w:noProof/>
          <w:sz w:val="20"/>
        </w:rPr>
        <w:t>12</w:t>
      </w:r>
      <w:r w:rsidR="00F123FD">
        <w:rPr>
          <w:rFonts w:ascii="Verdana" w:hAnsi="Verdana"/>
          <w:sz w:val="20"/>
        </w:rPr>
        <w:fldChar w:fldCharType="end"/>
      </w:r>
      <w:r w:rsidR="000E324D" w:rsidRPr="001B0749">
        <w:rPr>
          <w:rFonts w:ascii="Verdana" w:hAnsi="Verdana"/>
          <w:sz w:val="20"/>
        </w:rPr>
        <w:t>)</w:t>
      </w:r>
      <w:r w:rsidR="000E324D">
        <w:rPr>
          <w:rFonts w:ascii="Verdana" w:hAnsi="Verdana"/>
          <w:sz w:val="20"/>
        </w:rPr>
        <w:t>.</w:t>
      </w:r>
      <w:r w:rsidR="000E324D" w:rsidRPr="001B0749">
        <w:rPr>
          <w:rFonts w:ascii="Verdana" w:hAnsi="Verdana"/>
          <w:sz w:val="20"/>
        </w:rPr>
        <w:t xml:space="preserve"> Candidate listing </w:t>
      </w:r>
      <w:r w:rsidR="00C47FAC">
        <w:rPr>
          <w:rFonts w:ascii="Verdana" w:hAnsi="Verdana"/>
          <w:sz w:val="20"/>
        </w:rPr>
        <w:t xml:space="preserve">would </w:t>
      </w:r>
      <w:r w:rsidR="000E324D" w:rsidRPr="001B0749">
        <w:rPr>
          <w:rFonts w:ascii="Verdana" w:hAnsi="Verdana"/>
          <w:sz w:val="20"/>
        </w:rPr>
        <w:t xml:space="preserve">compel the </w:t>
      </w:r>
      <w:r w:rsidR="00622924">
        <w:rPr>
          <w:rFonts w:ascii="Verdana" w:hAnsi="Verdana"/>
          <w:sz w:val="20"/>
        </w:rPr>
        <w:t>Registrant</w:t>
      </w:r>
      <w:r w:rsidR="00C47FAC">
        <w:rPr>
          <w:rFonts w:ascii="Verdana" w:hAnsi="Verdana"/>
          <w:sz w:val="20"/>
        </w:rPr>
        <w:t>s</w:t>
      </w:r>
      <w:r w:rsidR="000E324D">
        <w:rPr>
          <w:rFonts w:ascii="Verdana" w:hAnsi="Verdana"/>
          <w:sz w:val="20"/>
        </w:rPr>
        <w:t xml:space="preserve"> (and any future </w:t>
      </w:r>
      <w:r w:rsidR="00622924">
        <w:rPr>
          <w:rFonts w:ascii="Verdana" w:hAnsi="Verdana"/>
          <w:sz w:val="20"/>
        </w:rPr>
        <w:t>Registrant</w:t>
      </w:r>
      <w:r w:rsidR="000E324D">
        <w:rPr>
          <w:rFonts w:ascii="Verdana" w:hAnsi="Verdana"/>
          <w:sz w:val="20"/>
        </w:rPr>
        <w:t>)</w:t>
      </w:r>
      <w:r w:rsidR="000E324D" w:rsidRPr="001B0749">
        <w:rPr>
          <w:rFonts w:ascii="Verdana" w:hAnsi="Verdana"/>
          <w:sz w:val="20"/>
        </w:rPr>
        <w:t xml:space="preserve"> to identify </w:t>
      </w:r>
      <w:r>
        <w:rPr>
          <w:rFonts w:ascii="Verdana" w:hAnsi="Verdana"/>
          <w:sz w:val="20"/>
        </w:rPr>
        <w:t>MCCPs</w:t>
      </w:r>
      <w:r w:rsidR="00607BBD">
        <w:rPr>
          <w:rFonts w:ascii="Verdana" w:hAnsi="Verdana"/>
          <w:sz w:val="20"/>
        </w:rPr>
        <w:t xml:space="preserve"> </w:t>
      </w:r>
      <w:r w:rsidR="000E324D" w:rsidRPr="001B0749">
        <w:rPr>
          <w:rFonts w:ascii="Verdana" w:hAnsi="Verdana"/>
          <w:sz w:val="20"/>
        </w:rPr>
        <w:t xml:space="preserve">as a </w:t>
      </w:r>
      <w:r w:rsidR="00F4480D">
        <w:rPr>
          <w:rFonts w:ascii="Verdana" w:hAnsi="Verdana"/>
          <w:sz w:val="20"/>
        </w:rPr>
        <w:t>PBT/</w:t>
      </w:r>
      <w:r w:rsidR="000E324D" w:rsidRPr="001B0749">
        <w:rPr>
          <w:rFonts w:ascii="Verdana" w:hAnsi="Verdana"/>
          <w:sz w:val="20"/>
        </w:rPr>
        <w:t>vPvB substance</w:t>
      </w:r>
      <w:r w:rsidR="00E234D7">
        <w:rPr>
          <w:rFonts w:ascii="Verdana" w:hAnsi="Verdana"/>
          <w:sz w:val="20"/>
        </w:rPr>
        <w:t xml:space="preserve"> and review their risk management measures to minimise emissions. It </w:t>
      </w:r>
      <w:r w:rsidR="001F31E6">
        <w:rPr>
          <w:rFonts w:ascii="Verdana" w:hAnsi="Verdana"/>
          <w:sz w:val="20"/>
        </w:rPr>
        <w:t xml:space="preserve">would </w:t>
      </w:r>
      <w:r w:rsidR="00E234D7">
        <w:rPr>
          <w:rFonts w:ascii="Verdana" w:hAnsi="Verdana"/>
          <w:sz w:val="20"/>
        </w:rPr>
        <w:t>also</w:t>
      </w:r>
      <w:r w:rsidR="000E324D" w:rsidRPr="001B0749">
        <w:rPr>
          <w:rFonts w:ascii="Verdana" w:hAnsi="Verdana"/>
          <w:sz w:val="20"/>
        </w:rPr>
        <w:t xml:space="preserve"> provide a flag to users about its undesirable properties</w:t>
      </w:r>
      <w:r w:rsidR="00E234D7">
        <w:rPr>
          <w:rFonts w:ascii="Verdana" w:hAnsi="Verdana"/>
          <w:sz w:val="20"/>
        </w:rPr>
        <w:t>, and m</w:t>
      </w:r>
      <w:r w:rsidR="001F31E6">
        <w:rPr>
          <w:rFonts w:ascii="Verdana" w:hAnsi="Verdana"/>
          <w:sz w:val="20"/>
        </w:rPr>
        <w:t>ight</w:t>
      </w:r>
      <w:r w:rsidR="00E234D7">
        <w:rPr>
          <w:rFonts w:ascii="Verdana" w:hAnsi="Verdana"/>
          <w:sz w:val="20"/>
        </w:rPr>
        <w:t xml:space="preserve"> be a useful way of confirming the properties of the substance prior to a restriction</w:t>
      </w:r>
      <w:r w:rsidR="000E324D" w:rsidRPr="001B0749">
        <w:rPr>
          <w:rFonts w:ascii="Verdana" w:hAnsi="Verdana"/>
          <w:sz w:val="20"/>
        </w:rPr>
        <w:t xml:space="preserve">. </w:t>
      </w:r>
      <w:r w:rsidR="009D71C4">
        <w:rPr>
          <w:rFonts w:ascii="Verdana" w:hAnsi="Verdana"/>
          <w:sz w:val="20"/>
        </w:rPr>
        <w:t xml:space="preserve">Candidate listing would, however, fail to </w:t>
      </w:r>
      <w:proofErr w:type="gramStart"/>
      <w:r w:rsidR="009D71C4">
        <w:rPr>
          <w:rFonts w:ascii="Verdana" w:hAnsi="Verdana"/>
          <w:sz w:val="20"/>
        </w:rPr>
        <w:t>distinguish  between</w:t>
      </w:r>
      <w:proofErr w:type="gramEnd"/>
      <w:r w:rsidR="009D71C4">
        <w:rPr>
          <w:rFonts w:ascii="Verdana" w:hAnsi="Verdana"/>
          <w:sz w:val="20"/>
        </w:rPr>
        <w:t xml:space="preserve"> the PBT and </w:t>
      </w:r>
      <w:r w:rsidR="00C63452">
        <w:rPr>
          <w:rFonts w:ascii="Verdana" w:hAnsi="Verdana"/>
          <w:sz w:val="20"/>
        </w:rPr>
        <w:t xml:space="preserve">any </w:t>
      </w:r>
      <w:r w:rsidR="009D71C4">
        <w:rPr>
          <w:rFonts w:ascii="Verdana" w:hAnsi="Verdana"/>
          <w:sz w:val="20"/>
        </w:rPr>
        <w:t xml:space="preserve">non-PBT </w:t>
      </w:r>
      <w:r w:rsidR="002F2E37">
        <w:rPr>
          <w:rFonts w:ascii="Verdana" w:hAnsi="Verdana"/>
          <w:sz w:val="20"/>
        </w:rPr>
        <w:t>constituents</w:t>
      </w:r>
      <w:r w:rsidR="009D71C4">
        <w:rPr>
          <w:rFonts w:ascii="Verdana" w:hAnsi="Verdana"/>
          <w:sz w:val="20"/>
        </w:rPr>
        <w:t xml:space="preserve"> of </w:t>
      </w:r>
      <w:r>
        <w:rPr>
          <w:rFonts w:ascii="Verdana" w:hAnsi="Verdana"/>
          <w:sz w:val="20"/>
        </w:rPr>
        <w:t>MCCPs</w:t>
      </w:r>
      <w:r w:rsidR="009D71C4">
        <w:rPr>
          <w:rFonts w:ascii="Verdana" w:hAnsi="Verdana"/>
          <w:sz w:val="20"/>
        </w:rPr>
        <w:t>.</w:t>
      </w:r>
      <w:r w:rsidR="001F31E6">
        <w:rPr>
          <w:rFonts w:ascii="Verdana" w:hAnsi="Verdana"/>
          <w:sz w:val="20"/>
        </w:rPr>
        <w:t xml:space="preserve"> Consequently, authorisation would </w:t>
      </w:r>
      <w:r w:rsidR="00E9799F">
        <w:rPr>
          <w:rFonts w:ascii="Verdana" w:hAnsi="Verdana"/>
          <w:sz w:val="20"/>
        </w:rPr>
        <w:t>include</w:t>
      </w:r>
      <w:r w:rsidR="001F31E6">
        <w:rPr>
          <w:rFonts w:ascii="Verdana" w:hAnsi="Verdana"/>
          <w:sz w:val="20"/>
        </w:rPr>
        <w:t xml:space="preserve"> uses that employ MCCPs with low levels of chlorination (</w:t>
      </w:r>
      <w:r w:rsidR="00C63452">
        <w:rPr>
          <w:rFonts w:ascii="Verdana" w:hAnsi="Verdana"/>
          <w:sz w:val="20"/>
        </w:rPr>
        <w:t>≤45</w:t>
      </w:r>
      <w:r w:rsidR="001F31E6">
        <w:rPr>
          <w:rFonts w:ascii="Verdana" w:hAnsi="Verdana"/>
          <w:sz w:val="20"/>
        </w:rPr>
        <w:t>% w/w)</w:t>
      </w:r>
      <w:r w:rsidR="00FD17EA">
        <w:rPr>
          <w:rFonts w:ascii="Verdana" w:hAnsi="Verdana"/>
          <w:sz w:val="20"/>
        </w:rPr>
        <w:t xml:space="preserve"> that </w:t>
      </w:r>
      <w:r w:rsidR="00C63452">
        <w:rPr>
          <w:rFonts w:ascii="Verdana" w:hAnsi="Verdana"/>
          <w:sz w:val="20"/>
        </w:rPr>
        <w:t>may not be</w:t>
      </w:r>
      <w:r w:rsidR="00FD17EA">
        <w:rPr>
          <w:rFonts w:ascii="Verdana" w:hAnsi="Verdana"/>
          <w:sz w:val="20"/>
        </w:rPr>
        <w:t xml:space="preserve"> persistent</w:t>
      </w:r>
      <w:r w:rsidR="001F31E6">
        <w:rPr>
          <w:rFonts w:ascii="Verdana" w:hAnsi="Verdana"/>
          <w:sz w:val="20"/>
        </w:rPr>
        <w:t>.</w:t>
      </w:r>
    </w:p>
    <w:p w14:paraId="1554BC4D" w14:textId="77777777" w:rsidR="000E324D" w:rsidRPr="001B0749" w:rsidRDefault="000E324D" w:rsidP="000E324D">
      <w:pPr>
        <w:pStyle w:val="BodyText"/>
        <w:spacing w:after="0"/>
        <w:rPr>
          <w:rFonts w:ascii="Verdana" w:hAnsi="Verdana"/>
          <w:sz w:val="20"/>
        </w:rPr>
      </w:pPr>
    </w:p>
    <w:p w14:paraId="6EC89206" w14:textId="5D93E1D2" w:rsidR="000E324D" w:rsidRPr="001B0749" w:rsidRDefault="000E324D" w:rsidP="000E324D">
      <w:pPr>
        <w:spacing w:after="0"/>
        <w:jc w:val="both"/>
        <w:rPr>
          <w:rFonts w:ascii="Verdana" w:hAnsi="Verdana"/>
          <w:sz w:val="20"/>
          <w:szCs w:val="20"/>
          <w:highlight w:val="green"/>
          <w:lang w:val="en-GB"/>
        </w:rPr>
      </w:pPr>
      <w:r w:rsidRPr="001B0749">
        <w:rPr>
          <w:rFonts w:ascii="Verdana" w:hAnsi="Verdana"/>
          <w:sz w:val="20"/>
        </w:rPr>
        <w:t xml:space="preserve">Authorisation </w:t>
      </w:r>
      <w:r w:rsidR="00FD17EA">
        <w:rPr>
          <w:rFonts w:ascii="Verdana" w:hAnsi="Verdana"/>
          <w:sz w:val="20"/>
        </w:rPr>
        <w:t>w</w:t>
      </w:r>
      <w:r w:rsidRPr="001B0749">
        <w:rPr>
          <w:rFonts w:ascii="Verdana" w:hAnsi="Verdana"/>
          <w:sz w:val="20"/>
        </w:rPr>
        <w:t xml:space="preserve">ould be a suitable option if no particular </w:t>
      </w:r>
      <w:r w:rsidR="00F4480D">
        <w:rPr>
          <w:rFonts w:ascii="Verdana" w:hAnsi="Verdana"/>
          <w:sz w:val="20"/>
        </w:rPr>
        <w:t xml:space="preserve">unacceptable </w:t>
      </w:r>
      <w:r w:rsidRPr="001B0749">
        <w:rPr>
          <w:rFonts w:ascii="Verdana" w:hAnsi="Verdana"/>
          <w:sz w:val="20"/>
        </w:rPr>
        <w:t>risks can be identified for restriction</w:t>
      </w:r>
      <w:r w:rsidR="00F167A3">
        <w:rPr>
          <w:rFonts w:ascii="Verdana" w:hAnsi="Verdana"/>
          <w:sz w:val="20"/>
        </w:rPr>
        <w:t xml:space="preserve">, if imported articles </w:t>
      </w:r>
      <w:r w:rsidR="00FD17EA">
        <w:rPr>
          <w:rFonts w:ascii="Verdana" w:hAnsi="Verdana"/>
          <w:sz w:val="20"/>
        </w:rPr>
        <w:t xml:space="preserve">were </w:t>
      </w:r>
      <w:r w:rsidR="00F167A3">
        <w:rPr>
          <w:rFonts w:ascii="Verdana" w:hAnsi="Verdana"/>
          <w:sz w:val="20"/>
        </w:rPr>
        <w:t xml:space="preserve"> not a significant source of </w:t>
      </w:r>
      <w:r w:rsidR="000578F2">
        <w:rPr>
          <w:rFonts w:ascii="Verdana" w:hAnsi="Verdana"/>
          <w:sz w:val="20"/>
        </w:rPr>
        <w:t>MCCPs</w:t>
      </w:r>
      <w:r w:rsidR="00F167A3">
        <w:rPr>
          <w:rFonts w:ascii="Verdana" w:hAnsi="Verdana"/>
          <w:sz w:val="20"/>
        </w:rPr>
        <w:t xml:space="preserve">, if service life losses </w:t>
      </w:r>
      <w:r w:rsidR="00FD17EA">
        <w:rPr>
          <w:rFonts w:ascii="Verdana" w:hAnsi="Verdana"/>
          <w:sz w:val="20"/>
        </w:rPr>
        <w:t xml:space="preserve">were </w:t>
      </w:r>
      <w:r w:rsidR="00F167A3">
        <w:rPr>
          <w:rFonts w:ascii="Verdana" w:hAnsi="Verdana"/>
          <w:sz w:val="20"/>
        </w:rPr>
        <w:t xml:space="preserve">minor, and if the number of potential applicants </w:t>
      </w:r>
      <w:r w:rsidR="00FD17EA">
        <w:rPr>
          <w:rFonts w:ascii="Verdana" w:hAnsi="Verdana"/>
          <w:sz w:val="20"/>
        </w:rPr>
        <w:t xml:space="preserve">were </w:t>
      </w:r>
      <w:r w:rsidR="00F167A3">
        <w:rPr>
          <w:rFonts w:ascii="Verdana" w:hAnsi="Verdana"/>
          <w:sz w:val="20"/>
        </w:rPr>
        <w:t xml:space="preserve"> manageable</w:t>
      </w:r>
      <w:r w:rsidRPr="001B0749">
        <w:rPr>
          <w:rFonts w:ascii="Verdana" w:hAnsi="Verdana"/>
          <w:sz w:val="20"/>
        </w:rPr>
        <w:t xml:space="preserve">. </w:t>
      </w:r>
      <w:r w:rsidRPr="001B0749">
        <w:rPr>
          <w:rFonts w:ascii="Verdana" w:hAnsi="Verdana"/>
          <w:sz w:val="20"/>
          <w:lang w:val="en-GB"/>
        </w:rPr>
        <w:t xml:space="preserve">The authorisation of </w:t>
      </w:r>
      <w:r w:rsidR="000578F2">
        <w:rPr>
          <w:rFonts w:ascii="Verdana" w:hAnsi="Verdana"/>
          <w:sz w:val="20"/>
          <w:lang w:val="en-GB"/>
        </w:rPr>
        <w:t>MCCPs</w:t>
      </w:r>
      <w:r w:rsidR="00607BBD">
        <w:rPr>
          <w:rFonts w:ascii="Verdana" w:hAnsi="Verdana"/>
          <w:sz w:val="20"/>
          <w:lang w:val="en-GB"/>
        </w:rPr>
        <w:t xml:space="preserve"> </w:t>
      </w:r>
      <w:r w:rsidRPr="001B0749">
        <w:rPr>
          <w:rFonts w:ascii="Verdana" w:hAnsi="Verdana"/>
          <w:sz w:val="20"/>
          <w:lang w:val="en-GB"/>
        </w:rPr>
        <w:t>would</w:t>
      </w:r>
      <w:r>
        <w:rPr>
          <w:rFonts w:ascii="Verdana" w:hAnsi="Verdana"/>
          <w:sz w:val="20"/>
          <w:lang w:val="en-GB"/>
        </w:rPr>
        <w:t xml:space="preserve"> </w:t>
      </w:r>
      <w:r w:rsidRPr="001B0749">
        <w:rPr>
          <w:rFonts w:ascii="Verdana" w:hAnsi="Verdana"/>
          <w:sz w:val="20"/>
          <w:lang w:val="en-GB"/>
        </w:rPr>
        <w:t>encourage substitution</w:t>
      </w:r>
      <w:r w:rsidR="00F4480D">
        <w:rPr>
          <w:rFonts w:ascii="Verdana" w:hAnsi="Verdana"/>
          <w:sz w:val="20"/>
          <w:lang w:val="en-GB"/>
        </w:rPr>
        <w:t>,</w:t>
      </w:r>
      <w:r w:rsidRPr="001B0749">
        <w:rPr>
          <w:rFonts w:ascii="Verdana" w:hAnsi="Verdana"/>
          <w:sz w:val="20"/>
          <w:lang w:val="en-GB"/>
        </w:rPr>
        <w:t xml:space="preserve"> but where industry considers this cannot currently be achieved, it allows companies to apply for continued use in specific applications. Authorisation has the potential to remove all non-essential uses while allowing essential uses to continue and creating pressure to move to alternatives in the long</w:t>
      </w:r>
      <w:r w:rsidR="00F4480D">
        <w:rPr>
          <w:rFonts w:ascii="Verdana" w:hAnsi="Verdana"/>
          <w:sz w:val="20"/>
          <w:lang w:val="en-GB"/>
        </w:rPr>
        <w:t>er term</w:t>
      </w:r>
      <w:r w:rsidRPr="001B0749">
        <w:rPr>
          <w:rFonts w:ascii="Verdana" w:hAnsi="Verdana"/>
          <w:sz w:val="20"/>
          <w:lang w:val="en-GB"/>
        </w:rPr>
        <w:t xml:space="preserve">. Authorisation would require companies to consider the comparative hazards and risks of alternatives, which may include (but is not limited to) </w:t>
      </w:r>
      <w:r w:rsidR="00C1208C">
        <w:rPr>
          <w:rFonts w:ascii="Verdana" w:hAnsi="Verdana"/>
          <w:sz w:val="20"/>
          <w:lang w:val="en-GB"/>
        </w:rPr>
        <w:t>the alternatives described in Section 4.3.3</w:t>
      </w:r>
      <w:r w:rsidRPr="001B0749">
        <w:rPr>
          <w:rFonts w:ascii="Verdana" w:hAnsi="Verdana"/>
          <w:sz w:val="20"/>
          <w:lang w:val="en-GB"/>
        </w:rPr>
        <w:t xml:space="preserve">. It is not yet known if the use of </w:t>
      </w:r>
      <w:r w:rsidR="000578F2">
        <w:rPr>
          <w:rFonts w:ascii="Verdana" w:hAnsi="Verdana"/>
          <w:sz w:val="20"/>
          <w:lang w:val="en-GB"/>
        </w:rPr>
        <w:t>MCCPs</w:t>
      </w:r>
      <w:r w:rsidR="00607BBD">
        <w:rPr>
          <w:rFonts w:ascii="Verdana" w:hAnsi="Verdana"/>
          <w:sz w:val="20"/>
          <w:lang w:val="en-GB"/>
        </w:rPr>
        <w:t xml:space="preserve"> </w:t>
      </w:r>
      <w:r w:rsidRPr="001B0749">
        <w:rPr>
          <w:rFonts w:ascii="Verdana" w:hAnsi="Verdana"/>
          <w:sz w:val="20"/>
          <w:lang w:val="en-GB"/>
        </w:rPr>
        <w:t xml:space="preserve">is essential in </w:t>
      </w:r>
      <w:r w:rsidR="00C47FAC">
        <w:rPr>
          <w:rFonts w:ascii="Verdana" w:hAnsi="Verdana"/>
          <w:sz w:val="20"/>
          <w:lang w:val="en-GB"/>
        </w:rPr>
        <w:t xml:space="preserve">any </w:t>
      </w:r>
      <w:r w:rsidRPr="001B0749">
        <w:rPr>
          <w:rFonts w:ascii="Verdana" w:hAnsi="Verdana"/>
          <w:sz w:val="20"/>
          <w:lang w:val="en-GB"/>
        </w:rPr>
        <w:t xml:space="preserve">applications or products. </w:t>
      </w:r>
    </w:p>
    <w:p w14:paraId="1F96F3A5" w14:textId="77777777" w:rsidR="000E324D" w:rsidRPr="001B0749" w:rsidRDefault="000E324D" w:rsidP="000E324D">
      <w:pPr>
        <w:pStyle w:val="BodyText"/>
        <w:spacing w:after="0"/>
        <w:rPr>
          <w:rFonts w:ascii="Verdana" w:hAnsi="Verdana"/>
          <w:sz w:val="20"/>
        </w:rPr>
      </w:pPr>
    </w:p>
    <w:p w14:paraId="7D0DBBC2" w14:textId="7B66D974" w:rsidR="000E324D" w:rsidRPr="007539C8" w:rsidRDefault="000E324D" w:rsidP="000E324D">
      <w:pPr>
        <w:pStyle w:val="BodyText"/>
        <w:spacing w:after="0"/>
        <w:rPr>
          <w:rFonts w:ascii="Verdana" w:hAnsi="Verdana"/>
          <w:sz w:val="20"/>
        </w:rPr>
      </w:pPr>
      <w:r w:rsidRPr="001B0749">
        <w:rPr>
          <w:rFonts w:ascii="Verdana" w:hAnsi="Verdana"/>
          <w:sz w:val="20"/>
        </w:rPr>
        <w:t>If authorisation</w:t>
      </w:r>
      <w:r w:rsidR="00F4480D">
        <w:rPr>
          <w:rFonts w:ascii="Verdana" w:hAnsi="Verdana"/>
          <w:sz w:val="20"/>
        </w:rPr>
        <w:t>s were to be</w:t>
      </w:r>
      <w:r w:rsidRPr="001B0749">
        <w:rPr>
          <w:rFonts w:ascii="Verdana" w:hAnsi="Verdana"/>
          <w:sz w:val="20"/>
        </w:rPr>
        <w:t xml:space="preserve"> granted, in the short</w:t>
      </w:r>
      <w:r>
        <w:rPr>
          <w:rFonts w:ascii="Verdana" w:hAnsi="Verdana"/>
          <w:sz w:val="20"/>
        </w:rPr>
        <w:t>-/medium-</w:t>
      </w:r>
      <w:r w:rsidRPr="001B0749">
        <w:rPr>
          <w:rFonts w:ascii="Verdana" w:hAnsi="Verdana"/>
          <w:sz w:val="20"/>
        </w:rPr>
        <w:t>term</w:t>
      </w:r>
      <w:r w:rsidR="00E234D7">
        <w:rPr>
          <w:rFonts w:ascii="Verdana" w:hAnsi="Verdana"/>
          <w:sz w:val="20"/>
        </w:rPr>
        <w:t xml:space="preserve"> it is likely that</w:t>
      </w:r>
      <w:r w:rsidRPr="001B0749">
        <w:rPr>
          <w:rFonts w:ascii="Verdana" w:hAnsi="Verdana"/>
          <w:sz w:val="20"/>
        </w:rPr>
        <w:t xml:space="preserve"> there w</w:t>
      </w:r>
      <w:r w:rsidR="00F4480D">
        <w:rPr>
          <w:rFonts w:ascii="Verdana" w:hAnsi="Verdana"/>
          <w:sz w:val="20"/>
        </w:rPr>
        <w:t xml:space="preserve">ould </w:t>
      </w:r>
      <w:r w:rsidRPr="001B0749">
        <w:rPr>
          <w:rFonts w:ascii="Verdana" w:hAnsi="Verdana"/>
          <w:sz w:val="20"/>
        </w:rPr>
        <w:t xml:space="preserve">be continued release of </w:t>
      </w:r>
      <w:r w:rsidR="000578F2">
        <w:rPr>
          <w:rFonts w:ascii="Verdana" w:hAnsi="Verdana"/>
          <w:sz w:val="20"/>
        </w:rPr>
        <w:t>MCCPs</w:t>
      </w:r>
      <w:r w:rsidR="00607BBD">
        <w:rPr>
          <w:rFonts w:ascii="Verdana" w:hAnsi="Verdana"/>
          <w:sz w:val="20"/>
        </w:rPr>
        <w:t xml:space="preserve"> </w:t>
      </w:r>
      <w:r w:rsidRPr="001B0749">
        <w:rPr>
          <w:rFonts w:ascii="Verdana" w:hAnsi="Verdana"/>
          <w:sz w:val="20"/>
        </w:rPr>
        <w:t>into the environment</w:t>
      </w:r>
      <w:r w:rsidR="009D71C4">
        <w:rPr>
          <w:rFonts w:ascii="Verdana" w:hAnsi="Verdana"/>
          <w:sz w:val="20"/>
        </w:rPr>
        <w:t>, including from imported articles</w:t>
      </w:r>
      <w:r w:rsidRPr="001B0749">
        <w:rPr>
          <w:rFonts w:ascii="Verdana" w:hAnsi="Verdana"/>
          <w:sz w:val="20"/>
        </w:rPr>
        <w:t xml:space="preserve">. </w:t>
      </w:r>
      <w:r w:rsidR="00C1208C">
        <w:rPr>
          <w:rFonts w:ascii="Verdana" w:hAnsi="Verdana"/>
          <w:sz w:val="20"/>
        </w:rPr>
        <w:t>S</w:t>
      </w:r>
      <w:r w:rsidR="00C1208C" w:rsidRPr="00C1208C">
        <w:rPr>
          <w:rFonts w:ascii="Verdana" w:hAnsi="Verdana"/>
          <w:sz w:val="20"/>
        </w:rPr>
        <w:t>ome reductions m</w:t>
      </w:r>
      <w:r w:rsidR="00C1208C">
        <w:rPr>
          <w:rFonts w:ascii="Verdana" w:hAnsi="Verdana"/>
          <w:sz w:val="20"/>
        </w:rPr>
        <w:t>ight</w:t>
      </w:r>
      <w:r w:rsidR="00C1208C" w:rsidRPr="00C1208C">
        <w:rPr>
          <w:rFonts w:ascii="Verdana" w:hAnsi="Verdana"/>
          <w:sz w:val="20"/>
        </w:rPr>
        <w:t xml:space="preserve"> be achieved depending on the conditions that are included in the authorisation. In addition, if </w:t>
      </w:r>
      <w:r w:rsidR="000578F2">
        <w:rPr>
          <w:rFonts w:ascii="Verdana" w:hAnsi="Verdana"/>
          <w:sz w:val="20"/>
        </w:rPr>
        <w:t>MCCPs</w:t>
      </w:r>
      <w:r w:rsidR="00607BBD">
        <w:rPr>
          <w:rFonts w:ascii="Verdana" w:hAnsi="Verdana"/>
          <w:sz w:val="20"/>
        </w:rPr>
        <w:t xml:space="preserve"> </w:t>
      </w:r>
      <w:r w:rsidR="00C1208C" w:rsidRPr="00C1208C">
        <w:rPr>
          <w:rFonts w:ascii="Verdana" w:hAnsi="Verdana"/>
          <w:sz w:val="20"/>
        </w:rPr>
        <w:t>is not added to Annex XIV due to other priorities</w:t>
      </w:r>
      <w:r w:rsidR="00C1208C">
        <w:rPr>
          <w:rFonts w:ascii="Verdana" w:hAnsi="Verdana"/>
          <w:sz w:val="20"/>
        </w:rPr>
        <w:t>,</w:t>
      </w:r>
      <w:r w:rsidR="00C1208C" w:rsidRPr="00C1208C">
        <w:rPr>
          <w:rFonts w:ascii="Verdana" w:hAnsi="Verdana"/>
          <w:sz w:val="20"/>
        </w:rPr>
        <w:t xml:space="preserve"> authorisation might not come into effect for a long time.</w:t>
      </w:r>
      <w:r w:rsidR="00C1208C">
        <w:rPr>
          <w:rFonts w:ascii="Verdana" w:hAnsi="Verdana"/>
          <w:sz w:val="20"/>
        </w:rPr>
        <w:t xml:space="preserve"> </w:t>
      </w:r>
      <w:r w:rsidRPr="001B0749">
        <w:rPr>
          <w:rFonts w:ascii="Verdana" w:hAnsi="Verdana"/>
          <w:sz w:val="20"/>
        </w:rPr>
        <w:t>It could</w:t>
      </w:r>
      <w:r w:rsidR="00C1208C">
        <w:rPr>
          <w:rFonts w:ascii="Verdana" w:hAnsi="Verdana"/>
          <w:sz w:val="20"/>
        </w:rPr>
        <w:t>, therefore, be argued that restriction</w:t>
      </w:r>
      <w:r w:rsidRPr="001B0749">
        <w:rPr>
          <w:rFonts w:ascii="Verdana" w:hAnsi="Verdana"/>
          <w:sz w:val="20"/>
        </w:rPr>
        <w:t xml:space="preserve"> would have a more immediate impact on emissions. However, in granting authorisations, the costs (both economic costs to </w:t>
      </w:r>
      <w:r w:rsidR="00E234D7">
        <w:rPr>
          <w:rFonts w:ascii="Verdana" w:hAnsi="Verdana"/>
          <w:sz w:val="20"/>
        </w:rPr>
        <w:t>applicants</w:t>
      </w:r>
      <w:r w:rsidR="00E234D7" w:rsidRPr="001B0749">
        <w:rPr>
          <w:rFonts w:ascii="Verdana" w:hAnsi="Verdana"/>
          <w:sz w:val="20"/>
        </w:rPr>
        <w:t xml:space="preserve"> </w:t>
      </w:r>
      <w:r w:rsidRPr="001B0749">
        <w:rPr>
          <w:rFonts w:ascii="Verdana" w:hAnsi="Verdana"/>
          <w:sz w:val="20"/>
        </w:rPr>
        <w:t>and environmental costs of continued release) and benefits for each use w</w:t>
      </w:r>
      <w:r w:rsidR="007539C8">
        <w:rPr>
          <w:rFonts w:ascii="Verdana" w:hAnsi="Verdana"/>
          <w:sz w:val="20"/>
        </w:rPr>
        <w:t>ould</w:t>
      </w:r>
      <w:r w:rsidRPr="001B0749">
        <w:rPr>
          <w:rFonts w:ascii="Verdana" w:hAnsi="Verdana"/>
          <w:sz w:val="20"/>
        </w:rPr>
        <w:t xml:space="preserve"> be assessed on a case-by-case basis. This w</w:t>
      </w:r>
      <w:r w:rsidR="007539C8">
        <w:rPr>
          <w:rFonts w:ascii="Verdana" w:hAnsi="Verdana"/>
          <w:sz w:val="20"/>
        </w:rPr>
        <w:t>ould</w:t>
      </w:r>
      <w:r w:rsidRPr="001B0749">
        <w:rPr>
          <w:rFonts w:ascii="Verdana" w:hAnsi="Verdana"/>
          <w:sz w:val="20"/>
        </w:rPr>
        <w:t xml:space="preserve"> be particularly helpful for sectors where alternatives need to undergo safety testing before they c</w:t>
      </w:r>
      <w:r w:rsidR="007539C8">
        <w:rPr>
          <w:rFonts w:ascii="Verdana" w:hAnsi="Verdana"/>
          <w:sz w:val="20"/>
        </w:rPr>
        <w:t>ould</w:t>
      </w:r>
      <w:r w:rsidRPr="001B0749">
        <w:rPr>
          <w:rFonts w:ascii="Verdana" w:hAnsi="Verdana"/>
          <w:sz w:val="20"/>
        </w:rPr>
        <w:t xml:space="preserve"> be introduced or where new substances are being developed and information on hazards and efficacy for these new substances is still being generated.  </w:t>
      </w:r>
      <w:r w:rsidRPr="007539C8">
        <w:rPr>
          <w:rFonts w:ascii="Verdana" w:hAnsi="Verdana"/>
          <w:sz w:val="20"/>
        </w:rPr>
        <w:t>Given the cost</w:t>
      </w:r>
      <w:r w:rsidR="007539C8">
        <w:rPr>
          <w:rFonts w:ascii="Verdana" w:hAnsi="Verdana"/>
          <w:sz w:val="20"/>
        </w:rPr>
        <w:t xml:space="preserve"> of </w:t>
      </w:r>
      <w:r w:rsidRPr="007539C8">
        <w:rPr>
          <w:rFonts w:ascii="Verdana" w:hAnsi="Verdana"/>
          <w:sz w:val="20"/>
        </w:rPr>
        <w:t>apply</w:t>
      </w:r>
      <w:r w:rsidR="007539C8">
        <w:rPr>
          <w:rFonts w:ascii="Verdana" w:hAnsi="Verdana"/>
          <w:sz w:val="20"/>
        </w:rPr>
        <w:t>ing</w:t>
      </w:r>
      <w:r w:rsidRPr="007539C8">
        <w:rPr>
          <w:rFonts w:ascii="Verdana" w:hAnsi="Verdana"/>
          <w:sz w:val="20"/>
        </w:rPr>
        <w:t xml:space="preserve"> for </w:t>
      </w:r>
      <w:r w:rsidR="007539C8">
        <w:rPr>
          <w:rFonts w:ascii="Verdana" w:hAnsi="Verdana"/>
          <w:sz w:val="20"/>
        </w:rPr>
        <w:t xml:space="preserve">an </w:t>
      </w:r>
      <w:r w:rsidRPr="007539C8">
        <w:rPr>
          <w:rFonts w:ascii="Verdana" w:hAnsi="Verdana"/>
          <w:sz w:val="20"/>
        </w:rPr>
        <w:t xml:space="preserve">authorisation, it is expected that where substitutes are readily available companies may </w:t>
      </w:r>
      <w:r w:rsidR="007539C8">
        <w:rPr>
          <w:rFonts w:ascii="Verdana" w:hAnsi="Verdana"/>
          <w:sz w:val="20"/>
        </w:rPr>
        <w:t>prefer</w:t>
      </w:r>
      <w:r w:rsidRPr="007539C8">
        <w:rPr>
          <w:rFonts w:ascii="Verdana" w:hAnsi="Verdana"/>
          <w:sz w:val="20"/>
        </w:rPr>
        <w:t xml:space="preserve"> substitution</w:t>
      </w:r>
      <w:r w:rsidR="007539C8">
        <w:rPr>
          <w:rFonts w:ascii="Verdana" w:hAnsi="Verdana"/>
          <w:sz w:val="20"/>
        </w:rPr>
        <w:t>.</w:t>
      </w:r>
    </w:p>
    <w:p w14:paraId="12E8F1DF" w14:textId="77777777" w:rsidR="000E324D" w:rsidRDefault="000E324D" w:rsidP="000E324D">
      <w:pPr>
        <w:pStyle w:val="BodyText"/>
        <w:spacing w:after="0"/>
        <w:rPr>
          <w:rFonts w:ascii="Verdana" w:hAnsi="Verdana"/>
          <w:sz w:val="20"/>
        </w:rPr>
      </w:pPr>
    </w:p>
    <w:p w14:paraId="108E1938" w14:textId="2D328458" w:rsidR="000E324D" w:rsidRPr="001B0749" w:rsidRDefault="000E324D" w:rsidP="000E324D">
      <w:pPr>
        <w:pStyle w:val="BodyText"/>
        <w:spacing w:after="0"/>
        <w:rPr>
          <w:rFonts w:ascii="Verdana" w:hAnsi="Verdana"/>
          <w:sz w:val="20"/>
        </w:rPr>
      </w:pPr>
      <w:r w:rsidRPr="001B0749">
        <w:rPr>
          <w:rFonts w:ascii="Verdana" w:hAnsi="Verdana"/>
          <w:sz w:val="20"/>
        </w:rPr>
        <w:t>Authorisation would not apply to imported articles</w:t>
      </w:r>
      <w:r w:rsidR="00C47FAC" w:rsidRPr="00C47FAC">
        <w:t xml:space="preserve"> </w:t>
      </w:r>
      <w:r w:rsidR="00C47FAC" w:rsidRPr="00C47FAC">
        <w:rPr>
          <w:rFonts w:ascii="Verdana" w:hAnsi="Verdana"/>
          <w:sz w:val="20"/>
        </w:rPr>
        <w:t xml:space="preserve">containing </w:t>
      </w:r>
      <w:r w:rsidR="000578F2">
        <w:rPr>
          <w:rFonts w:ascii="Verdana" w:hAnsi="Verdana"/>
          <w:sz w:val="20"/>
        </w:rPr>
        <w:t>MCCPs</w:t>
      </w:r>
      <w:r w:rsidR="00607BBD">
        <w:rPr>
          <w:rFonts w:ascii="Verdana" w:hAnsi="Verdana"/>
          <w:sz w:val="20"/>
        </w:rPr>
        <w:t>,</w:t>
      </w:r>
      <w:r w:rsidR="00C47FAC">
        <w:rPr>
          <w:rFonts w:ascii="Verdana" w:hAnsi="Verdana"/>
          <w:sz w:val="20"/>
        </w:rPr>
        <w:t xml:space="preserve"> such as textiles and electrical equipment</w:t>
      </w:r>
      <w:r w:rsidRPr="001B0749">
        <w:rPr>
          <w:rFonts w:ascii="Verdana" w:hAnsi="Verdana"/>
          <w:sz w:val="20"/>
        </w:rPr>
        <w:t xml:space="preserve">. </w:t>
      </w:r>
      <w:r w:rsidR="007539C8">
        <w:rPr>
          <w:rFonts w:ascii="Verdana" w:hAnsi="Verdana"/>
          <w:sz w:val="20"/>
        </w:rPr>
        <w:t>Instead, i</w:t>
      </w:r>
      <w:r w:rsidRPr="001B0749">
        <w:rPr>
          <w:rFonts w:ascii="Verdana" w:hAnsi="Verdana"/>
          <w:sz w:val="20"/>
        </w:rPr>
        <w:t xml:space="preserve">mported articles would need to be monitored to determine if they are a significant source of </w:t>
      </w:r>
      <w:r w:rsidR="000578F2">
        <w:rPr>
          <w:rFonts w:ascii="Verdana" w:hAnsi="Verdana"/>
          <w:sz w:val="20"/>
        </w:rPr>
        <w:t>MCCPs</w:t>
      </w:r>
      <w:r w:rsidR="00607BBD">
        <w:rPr>
          <w:rFonts w:ascii="Verdana" w:hAnsi="Verdana"/>
          <w:sz w:val="20"/>
        </w:rPr>
        <w:t xml:space="preserve"> </w:t>
      </w:r>
      <w:r w:rsidRPr="001B0749">
        <w:rPr>
          <w:rFonts w:ascii="Verdana" w:hAnsi="Verdana"/>
          <w:sz w:val="20"/>
        </w:rPr>
        <w:t xml:space="preserve">in the environment. If </w:t>
      </w:r>
      <w:r w:rsidR="007539C8">
        <w:rPr>
          <w:rFonts w:ascii="Verdana" w:hAnsi="Verdana"/>
          <w:sz w:val="20"/>
        </w:rPr>
        <w:t>they are</w:t>
      </w:r>
      <w:r w:rsidRPr="001B0749">
        <w:rPr>
          <w:rFonts w:ascii="Verdana" w:hAnsi="Verdana"/>
          <w:sz w:val="20"/>
        </w:rPr>
        <w:t>, it m</w:t>
      </w:r>
      <w:r w:rsidR="007539C8">
        <w:rPr>
          <w:rFonts w:ascii="Verdana" w:hAnsi="Verdana"/>
          <w:sz w:val="20"/>
        </w:rPr>
        <w:t>ight</w:t>
      </w:r>
      <w:r w:rsidRPr="001B0749">
        <w:rPr>
          <w:rFonts w:ascii="Verdana" w:hAnsi="Verdana"/>
          <w:sz w:val="20"/>
        </w:rPr>
        <w:t xml:space="preserve"> be necessary to develop </w:t>
      </w:r>
      <w:r w:rsidR="007539C8">
        <w:rPr>
          <w:rFonts w:ascii="Verdana" w:hAnsi="Verdana"/>
          <w:sz w:val="20"/>
        </w:rPr>
        <w:t xml:space="preserve">targeted </w:t>
      </w:r>
      <w:r w:rsidRPr="001B0749">
        <w:rPr>
          <w:rFonts w:ascii="Verdana" w:hAnsi="Verdana"/>
          <w:sz w:val="20"/>
        </w:rPr>
        <w:t xml:space="preserve">restrictions according to Article 69(2). </w:t>
      </w:r>
    </w:p>
    <w:p w14:paraId="366A2CF8" w14:textId="77777777" w:rsidR="000E324D" w:rsidRPr="001B0749" w:rsidRDefault="000E324D" w:rsidP="000E324D">
      <w:pPr>
        <w:pStyle w:val="BodyText"/>
        <w:spacing w:after="0"/>
        <w:rPr>
          <w:rFonts w:ascii="Verdana" w:hAnsi="Verdana"/>
          <w:sz w:val="20"/>
        </w:rPr>
      </w:pPr>
    </w:p>
    <w:p w14:paraId="224C05B4" w14:textId="05649F44" w:rsidR="000E324D" w:rsidRDefault="000E324D" w:rsidP="000E324D">
      <w:pPr>
        <w:pStyle w:val="BodyText"/>
        <w:spacing w:after="0"/>
        <w:rPr>
          <w:rFonts w:ascii="Verdana" w:hAnsi="Verdana"/>
          <w:sz w:val="20"/>
        </w:rPr>
      </w:pPr>
      <w:r w:rsidRPr="001B0749">
        <w:rPr>
          <w:rFonts w:ascii="Verdana" w:hAnsi="Verdana"/>
          <w:sz w:val="20"/>
        </w:rPr>
        <w:t xml:space="preserve">A further complication is the presence of </w:t>
      </w:r>
      <w:r w:rsidR="000578F2">
        <w:rPr>
          <w:rFonts w:ascii="Verdana" w:hAnsi="Verdana"/>
          <w:sz w:val="20"/>
        </w:rPr>
        <w:t>MCCPs</w:t>
      </w:r>
      <w:r w:rsidR="00607BBD">
        <w:rPr>
          <w:rFonts w:ascii="Verdana" w:hAnsi="Verdana"/>
          <w:sz w:val="20"/>
        </w:rPr>
        <w:t xml:space="preserve"> </w:t>
      </w:r>
      <w:r w:rsidRPr="001B0749">
        <w:rPr>
          <w:rFonts w:ascii="Verdana" w:hAnsi="Verdana"/>
          <w:sz w:val="20"/>
        </w:rPr>
        <w:t xml:space="preserve">in recycled </w:t>
      </w:r>
      <w:r w:rsidR="00C1208C">
        <w:rPr>
          <w:rFonts w:ascii="Verdana" w:hAnsi="Verdana"/>
          <w:sz w:val="20"/>
        </w:rPr>
        <w:t>PVC</w:t>
      </w:r>
      <w:r w:rsidRPr="001B0749">
        <w:rPr>
          <w:rFonts w:ascii="Verdana" w:hAnsi="Verdana"/>
          <w:sz w:val="20"/>
        </w:rPr>
        <w:t xml:space="preserve">. Directives such as </w:t>
      </w:r>
      <w:r w:rsidR="00223AD1">
        <w:rPr>
          <w:rFonts w:ascii="Verdana" w:hAnsi="Verdana"/>
          <w:sz w:val="20"/>
        </w:rPr>
        <w:t xml:space="preserve">those for </w:t>
      </w:r>
      <w:r w:rsidRPr="001B0749">
        <w:rPr>
          <w:rFonts w:ascii="Verdana" w:hAnsi="Verdana"/>
          <w:sz w:val="20"/>
        </w:rPr>
        <w:t xml:space="preserve">Waste Electrical and Electronic Equipment (WEEE) and End-of-Life </w:t>
      </w:r>
      <w:r w:rsidRPr="001B0749">
        <w:rPr>
          <w:rFonts w:ascii="Verdana" w:hAnsi="Verdana"/>
          <w:sz w:val="20"/>
        </w:rPr>
        <w:lastRenderedPageBreak/>
        <w:t xml:space="preserve">Vehicles (ELV) set targets for recycling of materials used in Electrical and Electronic Equipment (EEE) and motor vehicles. This includes articles that are made with </w:t>
      </w:r>
      <w:r w:rsidR="00E65B9B">
        <w:rPr>
          <w:rFonts w:ascii="Verdana" w:hAnsi="Verdana"/>
          <w:sz w:val="20"/>
        </w:rPr>
        <w:t>PVC</w:t>
      </w:r>
      <w:r w:rsidRPr="001B0749">
        <w:rPr>
          <w:rFonts w:ascii="Verdana" w:hAnsi="Verdana"/>
          <w:sz w:val="20"/>
        </w:rPr>
        <w:t xml:space="preserve">, some of which will contain </w:t>
      </w:r>
      <w:r w:rsidR="000578F2">
        <w:rPr>
          <w:rFonts w:ascii="Verdana" w:hAnsi="Verdana"/>
          <w:sz w:val="20"/>
        </w:rPr>
        <w:t>MCCPs</w:t>
      </w:r>
      <w:r w:rsidR="00607BBD">
        <w:rPr>
          <w:rFonts w:ascii="Verdana" w:hAnsi="Verdana"/>
          <w:sz w:val="20"/>
        </w:rPr>
        <w:t>.</w:t>
      </w:r>
      <w:r w:rsidRPr="001B0749">
        <w:rPr>
          <w:rFonts w:ascii="Verdana" w:hAnsi="Verdana"/>
          <w:sz w:val="20"/>
        </w:rPr>
        <w:t xml:space="preserve"> As for restrictions, it w</w:t>
      </w:r>
      <w:r w:rsidR="007539C8">
        <w:rPr>
          <w:rFonts w:ascii="Verdana" w:hAnsi="Verdana"/>
          <w:sz w:val="20"/>
        </w:rPr>
        <w:t>ould</w:t>
      </w:r>
      <w:r w:rsidRPr="001B0749">
        <w:rPr>
          <w:rFonts w:ascii="Verdana" w:hAnsi="Verdana"/>
          <w:sz w:val="20"/>
        </w:rPr>
        <w:t xml:space="preserve"> be necessary to make provisions to allow the use of recycled polymers contain</w:t>
      </w:r>
      <w:r w:rsidR="007539C8">
        <w:rPr>
          <w:rFonts w:ascii="Verdana" w:hAnsi="Verdana"/>
          <w:sz w:val="20"/>
        </w:rPr>
        <w:t>ing</w:t>
      </w:r>
      <w:r w:rsidRPr="001B0749">
        <w:rPr>
          <w:rFonts w:ascii="Verdana" w:hAnsi="Verdana"/>
          <w:sz w:val="20"/>
        </w:rPr>
        <w:t xml:space="preserve"> </w:t>
      </w:r>
      <w:r w:rsidR="000578F2">
        <w:rPr>
          <w:rFonts w:ascii="Verdana" w:hAnsi="Verdana"/>
          <w:sz w:val="20"/>
        </w:rPr>
        <w:t>MCCPs</w:t>
      </w:r>
      <w:r w:rsidR="00607BBD">
        <w:rPr>
          <w:rFonts w:ascii="Verdana" w:hAnsi="Verdana"/>
          <w:sz w:val="20"/>
        </w:rPr>
        <w:t>.</w:t>
      </w:r>
      <w:r w:rsidRPr="001B0749">
        <w:rPr>
          <w:rFonts w:ascii="Verdana" w:hAnsi="Verdana"/>
          <w:sz w:val="20"/>
        </w:rPr>
        <w:t xml:space="preserve"> </w:t>
      </w:r>
      <w:r w:rsidR="00D514A7">
        <w:rPr>
          <w:rFonts w:ascii="Verdana" w:hAnsi="Verdana"/>
          <w:sz w:val="20"/>
        </w:rPr>
        <w:t>T</w:t>
      </w:r>
      <w:r w:rsidRPr="001B0749">
        <w:rPr>
          <w:rFonts w:ascii="Verdana" w:hAnsi="Verdana"/>
          <w:sz w:val="20"/>
        </w:rPr>
        <w:t>he authorisation regime m</w:t>
      </w:r>
      <w:r w:rsidR="00D514A7">
        <w:rPr>
          <w:rFonts w:ascii="Verdana" w:hAnsi="Verdana"/>
          <w:sz w:val="20"/>
        </w:rPr>
        <w:t>ight</w:t>
      </w:r>
      <w:r w:rsidRPr="001B0749">
        <w:rPr>
          <w:rFonts w:ascii="Verdana" w:hAnsi="Verdana"/>
          <w:sz w:val="20"/>
        </w:rPr>
        <w:t xml:space="preserve"> simplify this assessment because it allows provisions to be tailored to specific supply chains whereas a restriction w</w:t>
      </w:r>
      <w:r w:rsidR="00D514A7">
        <w:rPr>
          <w:rFonts w:ascii="Verdana" w:hAnsi="Verdana"/>
          <w:sz w:val="20"/>
        </w:rPr>
        <w:t>ould</w:t>
      </w:r>
      <w:r w:rsidRPr="001B0749">
        <w:rPr>
          <w:rFonts w:ascii="Verdana" w:hAnsi="Verdana"/>
          <w:sz w:val="20"/>
        </w:rPr>
        <w:t xml:space="preserve"> need to apply equally to all recycled </w:t>
      </w:r>
      <w:r w:rsidR="00E65B9B">
        <w:rPr>
          <w:rFonts w:ascii="Verdana" w:hAnsi="Verdana"/>
          <w:sz w:val="20"/>
        </w:rPr>
        <w:t>PVC products</w:t>
      </w:r>
      <w:r w:rsidRPr="001B0749">
        <w:rPr>
          <w:rFonts w:ascii="Verdana" w:hAnsi="Verdana"/>
          <w:sz w:val="20"/>
        </w:rPr>
        <w:t xml:space="preserve"> (unless any are derogated). Potential emissions from recycled articles m</w:t>
      </w:r>
      <w:r w:rsidR="00D514A7">
        <w:rPr>
          <w:rFonts w:ascii="Verdana" w:hAnsi="Verdana"/>
          <w:sz w:val="20"/>
        </w:rPr>
        <w:t>ight</w:t>
      </w:r>
      <w:r w:rsidRPr="001B0749">
        <w:rPr>
          <w:rFonts w:ascii="Verdana" w:hAnsi="Verdana"/>
          <w:sz w:val="20"/>
        </w:rPr>
        <w:t xml:space="preserve"> need to be considered, along with emissions at/from recycling sites. </w:t>
      </w:r>
    </w:p>
    <w:p w14:paraId="3BB4261D" w14:textId="77777777" w:rsidR="002723D4" w:rsidRDefault="002723D4" w:rsidP="000E324D">
      <w:pPr>
        <w:pStyle w:val="BodyText"/>
        <w:spacing w:after="0"/>
        <w:rPr>
          <w:rFonts w:ascii="Verdana" w:hAnsi="Verdana"/>
          <w:sz w:val="20"/>
        </w:rPr>
      </w:pPr>
    </w:p>
    <w:p w14:paraId="0926EAF3" w14:textId="39F23944" w:rsidR="002723D4" w:rsidRPr="001B0749" w:rsidRDefault="00E234D7" w:rsidP="000E324D">
      <w:pPr>
        <w:pStyle w:val="BodyText"/>
        <w:spacing w:after="0"/>
        <w:rPr>
          <w:rFonts w:ascii="Verdana" w:hAnsi="Verdana"/>
          <w:b/>
          <w:sz w:val="20"/>
        </w:rPr>
      </w:pPr>
      <w:r>
        <w:rPr>
          <w:rFonts w:ascii="Verdana" w:hAnsi="Verdana"/>
          <w:sz w:val="20"/>
        </w:rPr>
        <w:t xml:space="preserve">The UK CA </w:t>
      </w:r>
      <w:r w:rsidR="002723D4">
        <w:rPr>
          <w:rFonts w:ascii="Verdana" w:hAnsi="Verdana"/>
          <w:sz w:val="20"/>
        </w:rPr>
        <w:t>con</w:t>
      </w:r>
      <w:r w:rsidR="00B94CF7">
        <w:rPr>
          <w:rFonts w:ascii="Verdana" w:hAnsi="Verdana"/>
          <w:sz w:val="20"/>
        </w:rPr>
        <w:t>siders</w:t>
      </w:r>
      <w:r w:rsidR="002723D4">
        <w:rPr>
          <w:rFonts w:ascii="Verdana" w:hAnsi="Verdana"/>
          <w:sz w:val="20"/>
        </w:rPr>
        <w:t xml:space="preserve"> that Authorisation m</w:t>
      </w:r>
      <w:r w:rsidR="00E9799F">
        <w:rPr>
          <w:rFonts w:ascii="Verdana" w:hAnsi="Verdana"/>
          <w:sz w:val="20"/>
        </w:rPr>
        <w:t>ight</w:t>
      </w:r>
      <w:r w:rsidR="002723D4">
        <w:rPr>
          <w:rFonts w:ascii="Verdana" w:hAnsi="Verdana"/>
          <w:sz w:val="20"/>
        </w:rPr>
        <w:t xml:space="preserve"> be an </w:t>
      </w:r>
      <w:r w:rsidR="00E9799F">
        <w:rPr>
          <w:rFonts w:ascii="Verdana" w:hAnsi="Verdana"/>
          <w:sz w:val="20"/>
        </w:rPr>
        <w:t>effective</w:t>
      </w:r>
      <w:r w:rsidR="002723D4">
        <w:rPr>
          <w:rFonts w:ascii="Verdana" w:hAnsi="Verdana"/>
          <w:sz w:val="20"/>
        </w:rPr>
        <w:t xml:space="preserve"> regulatory tool to minimise </w:t>
      </w:r>
      <w:r w:rsidR="000578F2">
        <w:rPr>
          <w:rFonts w:ascii="Verdana" w:hAnsi="Verdana"/>
          <w:sz w:val="20"/>
        </w:rPr>
        <w:t>MCCPs</w:t>
      </w:r>
      <w:r w:rsidR="00607BBD">
        <w:rPr>
          <w:rFonts w:ascii="Verdana" w:hAnsi="Verdana"/>
          <w:sz w:val="20"/>
        </w:rPr>
        <w:t xml:space="preserve"> </w:t>
      </w:r>
      <w:r w:rsidR="002723D4">
        <w:rPr>
          <w:rFonts w:ascii="Verdana" w:hAnsi="Verdana"/>
          <w:sz w:val="20"/>
        </w:rPr>
        <w:t xml:space="preserve">releases from the manufacture of </w:t>
      </w:r>
      <w:r w:rsidR="000578F2">
        <w:rPr>
          <w:rFonts w:ascii="Verdana" w:hAnsi="Verdana"/>
          <w:sz w:val="20"/>
        </w:rPr>
        <w:t>MCCPs</w:t>
      </w:r>
      <w:r w:rsidR="00607BBD">
        <w:rPr>
          <w:rFonts w:ascii="Verdana" w:hAnsi="Verdana"/>
          <w:sz w:val="20"/>
        </w:rPr>
        <w:t xml:space="preserve"> </w:t>
      </w:r>
      <w:r w:rsidR="002723D4">
        <w:rPr>
          <w:rFonts w:ascii="Verdana" w:hAnsi="Verdana"/>
          <w:sz w:val="20"/>
        </w:rPr>
        <w:t>and the formulation and processing of PVC, rubber, sealants, adhesives, paints, coatings, and metalworking fluids, and the production/</w:t>
      </w:r>
      <w:r w:rsidR="009D71C4">
        <w:rPr>
          <w:rFonts w:ascii="Verdana" w:hAnsi="Verdana"/>
          <w:sz w:val="20"/>
        </w:rPr>
        <w:t>recycling</w:t>
      </w:r>
      <w:r w:rsidR="002723D4">
        <w:rPr>
          <w:rFonts w:ascii="Verdana" w:hAnsi="Verdana"/>
          <w:sz w:val="20"/>
        </w:rPr>
        <w:t xml:space="preserve"> of paper. </w:t>
      </w:r>
      <w:r>
        <w:rPr>
          <w:rFonts w:ascii="Verdana" w:hAnsi="Verdana"/>
          <w:sz w:val="20"/>
        </w:rPr>
        <w:t xml:space="preserve">However, </w:t>
      </w:r>
      <w:r w:rsidR="002723D4">
        <w:rPr>
          <w:rFonts w:ascii="Verdana" w:hAnsi="Verdana"/>
          <w:sz w:val="20"/>
        </w:rPr>
        <w:t>Authorisation would be ineffective in minimising releases associated with imported articles</w:t>
      </w:r>
      <w:r w:rsidR="00B94CF7">
        <w:rPr>
          <w:rFonts w:ascii="Verdana" w:hAnsi="Verdana"/>
          <w:sz w:val="20"/>
        </w:rPr>
        <w:t xml:space="preserve">, could not be targeted on the identified PBT/vPvB </w:t>
      </w:r>
      <w:r w:rsidR="000578F2">
        <w:rPr>
          <w:rFonts w:ascii="Verdana" w:hAnsi="Verdana"/>
          <w:sz w:val="20"/>
        </w:rPr>
        <w:t>MCCPs</w:t>
      </w:r>
      <w:r w:rsidR="00B94CF7">
        <w:rPr>
          <w:rFonts w:ascii="Verdana" w:hAnsi="Verdana"/>
          <w:sz w:val="20"/>
        </w:rPr>
        <w:t xml:space="preserve"> </w:t>
      </w:r>
      <w:r w:rsidR="00F77520">
        <w:rPr>
          <w:rFonts w:ascii="Verdana" w:hAnsi="Verdana"/>
          <w:sz w:val="20"/>
        </w:rPr>
        <w:t>constituents</w:t>
      </w:r>
      <w:r w:rsidR="00B94CF7">
        <w:rPr>
          <w:rFonts w:ascii="Verdana" w:hAnsi="Verdana"/>
          <w:sz w:val="20"/>
        </w:rPr>
        <w:t>, would not be applicable to article service life losses, and would generate a very substantial regulatory workload from the numerous use sectors</w:t>
      </w:r>
      <w:r w:rsidR="002723D4">
        <w:rPr>
          <w:rFonts w:ascii="Verdana" w:hAnsi="Verdana"/>
          <w:sz w:val="20"/>
        </w:rPr>
        <w:t xml:space="preserve">. </w:t>
      </w:r>
    </w:p>
    <w:p w14:paraId="2FD0B8DE" w14:textId="77777777" w:rsidR="002723D4" w:rsidRDefault="002723D4" w:rsidP="000E324D">
      <w:pPr>
        <w:pStyle w:val="BodyText"/>
        <w:spacing w:after="0"/>
        <w:rPr>
          <w:rFonts w:ascii="Verdana" w:hAnsi="Verdana"/>
          <w:b/>
          <w:sz w:val="20"/>
        </w:rPr>
      </w:pPr>
    </w:p>
    <w:p w14:paraId="058D12E3" w14:textId="35620237" w:rsidR="000E324D" w:rsidRPr="001B0749" w:rsidRDefault="00674BF4" w:rsidP="000E324D">
      <w:pPr>
        <w:pStyle w:val="BodyText"/>
        <w:spacing w:after="0"/>
        <w:rPr>
          <w:rFonts w:ascii="Verdana" w:hAnsi="Verdana"/>
          <w:b/>
          <w:sz w:val="20"/>
        </w:rPr>
      </w:pPr>
      <w:r>
        <w:rPr>
          <w:rFonts w:ascii="Verdana" w:hAnsi="Verdana"/>
          <w:b/>
          <w:sz w:val="20"/>
        </w:rPr>
        <w:t xml:space="preserve">REACH </w:t>
      </w:r>
      <w:r w:rsidR="000E324D" w:rsidRPr="001B0749">
        <w:rPr>
          <w:rFonts w:ascii="Verdana" w:hAnsi="Verdana"/>
          <w:b/>
          <w:sz w:val="20"/>
        </w:rPr>
        <w:t>Restriction</w:t>
      </w:r>
    </w:p>
    <w:p w14:paraId="101A313C" w14:textId="77777777" w:rsidR="000E324D" w:rsidRPr="001B0749" w:rsidRDefault="000E324D" w:rsidP="000E324D">
      <w:pPr>
        <w:pStyle w:val="BodyText"/>
        <w:spacing w:after="0"/>
        <w:rPr>
          <w:rFonts w:ascii="Verdana" w:hAnsi="Verdana"/>
          <w:sz w:val="20"/>
        </w:rPr>
      </w:pPr>
    </w:p>
    <w:p w14:paraId="57DF8910" w14:textId="65107CD9" w:rsidR="000E324D" w:rsidRPr="001B0749" w:rsidRDefault="000E324D" w:rsidP="000E324D">
      <w:pPr>
        <w:pStyle w:val="BodyText"/>
        <w:spacing w:after="0"/>
        <w:rPr>
          <w:rFonts w:ascii="Verdana" w:hAnsi="Verdana"/>
          <w:sz w:val="20"/>
        </w:rPr>
      </w:pPr>
      <w:r w:rsidRPr="001B0749">
        <w:rPr>
          <w:rFonts w:ascii="Verdana" w:hAnsi="Verdana"/>
          <w:sz w:val="20"/>
        </w:rPr>
        <w:t xml:space="preserve">Restrictions can be introduced when there is an unacceptable risk to human health or the environment arising from the manufacture, placing on the market and use of a substance, and the risk needs to be addressed on a Community-wide basis. When considering a restriction on a substance, </w:t>
      </w:r>
      <w:r w:rsidR="009F5F89">
        <w:rPr>
          <w:rFonts w:ascii="Verdana" w:hAnsi="Verdana"/>
          <w:sz w:val="20"/>
        </w:rPr>
        <w:t>the scope is assessed in terms of</w:t>
      </w:r>
      <w:r w:rsidRPr="001B0749">
        <w:rPr>
          <w:rFonts w:ascii="Verdana" w:hAnsi="Verdana"/>
          <w:sz w:val="20"/>
        </w:rPr>
        <w:t xml:space="preserve"> effectiveness</w:t>
      </w:r>
      <w:r w:rsidR="009F5F89">
        <w:rPr>
          <w:rFonts w:ascii="Verdana" w:hAnsi="Verdana"/>
          <w:sz w:val="20"/>
        </w:rPr>
        <w:t xml:space="preserve">, practicality, </w:t>
      </w:r>
      <w:proofErr w:type="spellStart"/>
      <w:r w:rsidR="009F5F89">
        <w:rPr>
          <w:rFonts w:ascii="Verdana" w:hAnsi="Verdana"/>
          <w:sz w:val="20"/>
        </w:rPr>
        <w:t>monitorability</w:t>
      </w:r>
      <w:proofErr w:type="spellEnd"/>
      <w:r w:rsidR="009F5F89">
        <w:rPr>
          <w:rFonts w:ascii="Verdana" w:hAnsi="Verdana"/>
          <w:sz w:val="20"/>
        </w:rPr>
        <w:t>, alternative substances and techniques, and socio-economic impacts</w:t>
      </w:r>
      <w:r w:rsidRPr="001B0749">
        <w:rPr>
          <w:rFonts w:ascii="Verdana" w:hAnsi="Verdana"/>
          <w:sz w:val="20"/>
        </w:rPr>
        <w:t xml:space="preserve">. </w:t>
      </w:r>
    </w:p>
    <w:p w14:paraId="359A027B" w14:textId="77777777" w:rsidR="000E324D" w:rsidRPr="001B0749" w:rsidRDefault="000E324D" w:rsidP="000E324D">
      <w:pPr>
        <w:pStyle w:val="BodyText"/>
        <w:spacing w:after="0"/>
        <w:rPr>
          <w:rFonts w:ascii="Verdana" w:hAnsi="Verdana"/>
          <w:sz w:val="20"/>
        </w:rPr>
      </w:pPr>
    </w:p>
    <w:p w14:paraId="705DF016" w14:textId="35C10DCE" w:rsidR="000E324D" w:rsidRPr="001B0749" w:rsidRDefault="004B2AF1" w:rsidP="000E324D">
      <w:pPr>
        <w:pStyle w:val="BodyText"/>
        <w:spacing w:after="0"/>
        <w:rPr>
          <w:rFonts w:ascii="Verdana" w:hAnsi="Verdana"/>
          <w:sz w:val="20"/>
        </w:rPr>
      </w:pPr>
      <w:r>
        <w:rPr>
          <w:rFonts w:ascii="Verdana" w:hAnsi="Verdana"/>
          <w:sz w:val="20"/>
        </w:rPr>
        <w:t xml:space="preserve">The lead </w:t>
      </w:r>
      <w:r w:rsidR="00622924">
        <w:rPr>
          <w:rFonts w:ascii="Verdana" w:hAnsi="Verdana"/>
          <w:sz w:val="20"/>
        </w:rPr>
        <w:t>Registrant</w:t>
      </w:r>
      <w:r>
        <w:rPr>
          <w:rFonts w:ascii="Verdana" w:hAnsi="Verdana"/>
          <w:sz w:val="20"/>
        </w:rPr>
        <w:t xml:space="preserve">’s CSR identifies that the risk characterisation ratios for all registered uses and exposure scenarios are below 1, indicating </w:t>
      </w:r>
      <w:r w:rsidR="00F77520">
        <w:rPr>
          <w:rFonts w:ascii="Verdana" w:hAnsi="Verdana"/>
          <w:sz w:val="20"/>
        </w:rPr>
        <w:t>a low determin</w:t>
      </w:r>
      <w:r w:rsidR="003A6F22">
        <w:rPr>
          <w:rFonts w:ascii="Verdana" w:hAnsi="Verdana"/>
          <w:sz w:val="20"/>
        </w:rPr>
        <w:t>i</w:t>
      </w:r>
      <w:r w:rsidR="00F77520">
        <w:rPr>
          <w:rFonts w:ascii="Verdana" w:hAnsi="Verdana"/>
          <w:sz w:val="20"/>
        </w:rPr>
        <w:t xml:space="preserve">stic </w:t>
      </w:r>
      <w:r>
        <w:rPr>
          <w:rFonts w:ascii="Verdana" w:hAnsi="Verdana"/>
          <w:sz w:val="20"/>
        </w:rPr>
        <w:t xml:space="preserve">environmental risk. </w:t>
      </w:r>
      <w:r w:rsidR="00E234D7">
        <w:rPr>
          <w:rFonts w:ascii="Verdana" w:hAnsi="Verdana"/>
          <w:sz w:val="20"/>
        </w:rPr>
        <w:t xml:space="preserve">Nevertheless, </w:t>
      </w:r>
      <w:r>
        <w:rPr>
          <w:rFonts w:ascii="Verdana" w:hAnsi="Verdana"/>
          <w:sz w:val="20"/>
        </w:rPr>
        <w:t>s</w:t>
      </w:r>
      <w:r w:rsidR="000E324D" w:rsidRPr="001B0749">
        <w:rPr>
          <w:rFonts w:ascii="Verdana" w:hAnsi="Verdana"/>
          <w:sz w:val="20"/>
        </w:rPr>
        <w:t xml:space="preserve">ince </w:t>
      </w:r>
      <w:r w:rsidR="000578F2">
        <w:rPr>
          <w:rFonts w:ascii="Verdana" w:hAnsi="Verdana"/>
          <w:sz w:val="20"/>
        </w:rPr>
        <w:t>MCCPs</w:t>
      </w:r>
      <w:r w:rsidR="00607BBD">
        <w:rPr>
          <w:rFonts w:ascii="Verdana" w:hAnsi="Verdana"/>
          <w:sz w:val="20"/>
        </w:rPr>
        <w:t xml:space="preserve"> </w:t>
      </w:r>
      <w:r w:rsidR="00E234D7">
        <w:rPr>
          <w:rFonts w:ascii="Verdana" w:hAnsi="Verdana"/>
          <w:sz w:val="20"/>
        </w:rPr>
        <w:t xml:space="preserve">has </w:t>
      </w:r>
      <w:r w:rsidR="00590B6A">
        <w:rPr>
          <w:rFonts w:ascii="Verdana" w:hAnsi="Verdana"/>
          <w:sz w:val="20"/>
        </w:rPr>
        <w:t>PBT</w:t>
      </w:r>
      <w:r w:rsidR="00E234D7">
        <w:rPr>
          <w:rFonts w:ascii="Verdana" w:hAnsi="Verdana"/>
          <w:sz w:val="20"/>
        </w:rPr>
        <w:t xml:space="preserve"> properties</w:t>
      </w:r>
      <w:r w:rsidR="00590B6A">
        <w:rPr>
          <w:rFonts w:ascii="Verdana" w:hAnsi="Verdana"/>
          <w:sz w:val="20"/>
        </w:rPr>
        <w:t xml:space="preserve"> and </w:t>
      </w:r>
      <w:r w:rsidR="00D514A7">
        <w:rPr>
          <w:rFonts w:ascii="Verdana" w:hAnsi="Verdana"/>
          <w:sz w:val="20"/>
        </w:rPr>
        <w:t>e</w:t>
      </w:r>
      <w:r w:rsidR="000E324D" w:rsidRPr="001B0749">
        <w:rPr>
          <w:rFonts w:ascii="Verdana" w:hAnsi="Verdana"/>
          <w:sz w:val="20"/>
        </w:rPr>
        <w:t xml:space="preserve">missions are known to occur in the European environment, </w:t>
      </w:r>
      <w:r w:rsidR="00E234D7">
        <w:rPr>
          <w:rFonts w:ascii="Verdana" w:hAnsi="Verdana"/>
          <w:sz w:val="20"/>
        </w:rPr>
        <w:t>it is</w:t>
      </w:r>
      <w:r w:rsidR="00590B6A">
        <w:rPr>
          <w:rFonts w:ascii="Verdana" w:hAnsi="Verdana"/>
          <w:sz w:val="20"/>
        </w:rPr>
        <w:t xml:space="preserve"> assume</w:t>
      </w:r>
      <w:r w:rsidR="00E234D7">
        <w:rPr>
          <w:rFonts w:ascii="Verdana" w:hAnsi="Verdana"/>
          <w:sz w:val="20"/>
        </w:rPr>
        <w:t>d that</w:t>
      </w:r>
      <w:r w:rsidR="00590B6A">
        <w:rPr>
          <w:rFonts w:ascii="Verdana" w:hAnsi="Verdana"/>
          <w:sz w:val="20"/>
        </w:rPr>
        <w:t xml:space="preserve"> an </w:t>
      </w:r>
      <w:r w:rsidR="000E324D" w:rsidRPr="001B0749">
        <w:rPr>
          <w:rFonts w:ascii="Verdana" w:hAnsi="Verdana"/>
          <w:sz w:val="20"/>
        </w:rPr>
        <w:t>unacceptable risk</w:t>
      </w:r>
      <w:r w:rsidR="00590B6A">
        <w:rPr>
          <w:rFonts w:ascii="Verdana" w:hAnsi="Verdana"/>
          <w:sz w:val="20"/>
        </w:rPr>
        <w:t xml:space="preserve"> </w:t>
      </w:r>
      <w:r w:rsidR="005E179B">
        <w:rPr>
          <w:rFonts w:ascii="Verdana" w:hAnsi="Verdana"/>
          <w:sz w:val="20"/>
        </w:rPr>
        <w:t>exists</w:t>
      </w:r>
      <w:r w:rsidR="00590B6A">
        <w:rPr>
          <w:rFonts w:ascii="Verdana" w:hAnsi="Verdana"/>
          <w:sz w:val="20"/>
        </w:rPr>
        <w:t>. T</w:t>
      </w:r>
      <w:r w:rsidR="000E324D" w:rsidRPr="001B0749">
        <w:rPr>
          <w:rFonts w:ascii="Verdana" w:hAnsi="Verdana"/>
          <w:sz w:val="20"/>
        </w:rPr>
        <w:t xml:space="preserve">hat </w:t>
      </w:r>
      <w:r w:rsidR="00590B6A">
        <w:rPr>
          <w:rFonts w:ascii="Verdana" w:hAnsi="Verdana"/>
          <w:sz w:val="20"/>
        </w:rPr>
        <w:t xml:space="preserve">risk </w:t>
      </w:r>
      <w:r w:rsidR="000E324D" w:rsidRPr="001B0749">
        <w:rPr>
          <w:rFonts w:ascii="Verdana" w:hAnsi="Verdana"/>
          <w:sz w:val="20"/>
        </w:rPr>
        <w:t>could be managed using a restriction</w:t>
      </w:r>
      <w:r w:rsidR="00064A11">
        <w:rPr>
          <w:rFonts w:ascii="Verdana" w:hAnsi="Verdana"/>
          <w:sz w:val="20"/>
        </w:rPr>
        <w:t xml:space="preserve"> to eliminate or reduce emissions</w:t>
      </w:r>
      <w:r w:rsidR="000E324D" w:rsidRPr="001B0749">
        <w:rPr>
          <w:rFonts w:ascii="Verdana" w:hAnsi="Verdana"/>
          <w:sz w:val="20"/>
        </w:rPr>
        <w:t xml:space="preserve">. </w:t>
      </w:r>
    </w:p>
    <w:p w14:paraId="5ED0802A" w14:textId="77777777" w:rsidR="000E324D" w:rsidRPr="001B0749" w:rsidRDefault="000E324D" w:rsidP="000E324D">
      <w:pPr>
        <w:pStyle w:val="BodyText"/>
        <w:spacing w:after="0"/>
        <w:rPr>
          <w:rFonts w:ascii="Verdana" w:hAnsi="Verdana"/>
          <w:sz w:val="20"/>
        </w:rPr>
      </w:pPr>
    </w:p>
    <w:p w14:paraId="29F6D2D0" w14:textId="4A38A5AF" w:rsidR="0061109A" w:rsidRDefault="0061109A" w:rsidP="000E324D">
      <w:pPr>
        <w:pStyle w:val="BodyText"/>
        <w:spacing w:after="0"/>
        <w:rPr>
          <w:rFonts w:ascii="Verdana" w:hAnsi="Verdana"/>
          <w:sz w:val="20"/>
        </w:rPr>
      </w:pPr>
      <w:r>
        <w:rPr>
          <w:rFonts w:ascii="Verdana" w:hAnsi="Verdana"/>
          <w:sz w:val="20"/>
        </w:rPr>
        <w:t xml:space="preserve">In contrast to authorisation, restriction offers the important advantage of selective targeting of particular compositions of </w:t>
      </w:r>
      <w:r w:rsidR="000578F2">
        <w:rPr>
          <w:rFonts w:ascii="Verdana" w:hAnsi="Verdana"/>
          <w:sz w:val="20"/>
        </w:rPr>
        <w:t>MCCPs</w:t>
      </w:r>
      <w:r>
        <w:rPr>
          <w:rFonts w:ascii="Verdana" w:hAnsi="Verdana"/>
          <w:sz w:val="20"/>
        </w:rPr>
        <w:t>, i.e.</w:t>
      </w:r>
      <w:r w:rsidR="00C63452">
        <w:rPr>
          <w:rFonts w:ascii="Verdana" w:hAnsi="Verdana"/>
          <w:sz w:val="20"/>
        </w:rPr>
        <w:t xml:space="preserve"> exempting any</w:t>
      </w:r>
      <w:r>
        <w:rPr>
          <w:rFonts w:ascii="Verdana" w:hAnsi="Verdana"/>
          <w:sz w:val="20"/>
        </w:rPr>
        <w:t xml:space="preserve"> chain length and chlorination </w:t>
      </w:r>
      <w:r w:rsidR="00C63452">
        <w:rPr>
          <w:rFonts w:ascii="Verdana" w:hAnsi="Verdana"/>
          <w:sz w:val="20"/>
        </w:rPr>
        <w:t>levels</w:t>
      </w:r>
      <w:bookmarkStart w:id="38" w:name="_GoBack"/>
      <w:bookmarkEnd w:id="38"/>
      <w:r>
        <w:rPr>
          <w:rFonts w:ascii="Verdana" w:hAnsi="Verdana"/>
          <w:sz w:val="20"/>
        </w:rPr>
        <w:t xml:space="preserve"> </w:t>
      </w:r>
      <w:r w:rsidR="00C63452">
        <w:rPr>
          <w:rFonts w:ascii="Verdana" w:hAnsi="Verdana"/>
          <w:sz w:val="20"/>
        </w:rPr>
        <w:t xml:space="preserve">shown not to be </w:t>
      </w:r>
      <w:r>
        <w:rPr>
          <w:rFonts w:ascii="Verdana" w:hAnsi="Verdana"/>
          <w:sz w:val="20"/>
        </w:rPr>
        <w:t xml:space="preserve">associated with PBT/vPvB properties. This </w:t>
      </w:r>
      <w:r w:rsidR="006B5463">
        <w:rPr>
          <w:rFonts w:ascii="Verdana" w:hAnsi="Verdana"/>
          <w:sz w:val="20"/>
        </w:rPr>
        <w:t>could</w:t>
      </w:r>
      <w:r w:rsidR="00911F27">
        <w:rPr>
          <w:rFonts w:ascii="Verdana" w:hAnsi="Verdana"/>
          <w:sz w:val="20"/>
        </w:rPr>
        <w:t xml:space="preserve"> encourage</w:t>
      </w:r>
      <w:r w:rsidR="006B5463">
        <w:rPr>
          <w:rFonts w:ascii="Verdana" w:hAnsi="Verdana"/>
          <w:sz w:val="20"/>
        </w:rPr>
        <w:t xml:space="preserve"> industry to alter </w:t>
      </w:r>
      <w:r w:rsidR="000578F2">
        <w:rPr>
          <w:rFonts w:ascii="Verdana" w:hAnsi="Verdana"/>
          <w:sz w:val="20"/>
        </w:rPr>
        <w:t>MCCPs</w:t>
      </w:r>
      <w:r w:rsidR="006B5463">
        <w:rPr>
          <w:rFonts w:ascii="Verdana" w:hAnsi="Verdana"/>
          <w:sz w:val="20"/>
        </w:rPr>
        <w:t xml:space="preserve"> (and LCCP) manufacturing processes to avoid generating the </w:t>
      </w:r>
      <w:r w:rsidR="002F2E37">
        <w:rPr>
          <w:rFonts w:ascii="Verdana" w:hAnsi="Verdana"/>
          <w:sz w:val="20"/>
        </w:rPr>
        <w:t>constituents</w:t>
      </w:r>
      <w:r>
        <w:rPr>
          <w:rFonts w:ascii="Verdana" w:hAnsi="Verdana"/>
          <w:sz w:val="20"/>
        </w:rPr>
        <w:t xml:space="preserve"> </w:t>
      </w:r>
      <w:r w:rsidR="006B5463">
        <w:rPr>
          <w:rFonts w:ascii="Verdana" w:hAnsi="Verdana"/>
          <w:sz w:val="20"/>
        </w:rPr>
        <w:t>of concern</w:t>
      </w:r>
      <w:r w:rsidR="00911F27">
        <w:rPr>
          <w:rFonts w:ascii="Verdana" w:hAnsi="Verdana"/>
          <w:sz w:val="20"/>
        </w:rPr>
        <w:t xml:space="preserve"> in the first place</w:t>
      </w:r>
      <w:r w:rsidR="006B5463">
        <w:rPr>
          <w:rFonts w:ascii="Verdana" w:hAnsi="Verdana"/>
          <w:sz w:val="20"/>
        </w:rPr>
        <w:t>.</w:t>
      </w:r>
      <w:r>
        <w:rPr>
          <w:rFonts w:ascii="Verdana" w:hAnsi="Verdana"/>
          <w:sz w:val="20"/>
        </w:rPr>
        <w:t xml:space="preserve"> </w:t>
      </w:r>
      <w:r w:rsidR="001E4698">
        <w:rPr>
          <w:rFonts w:ascii="Verdana" w:hAnsi="Verdana"/>
          <w:sz w:val="20"/>
        </w:rPr>
        <w:t>S</w:t>
      </w:r>
      <w:r w:rsidR="00E9799F">
        <w:rPr>
          <w:rFonts w:ascii="Verdana" w:hAnsi="Verdana"/>
          <w:sz w:val="20"/>
        </w:rPr>
        <w:t>uch a</w:t>
      </w:r>
      <w:r w:rsidR="001E4698">
        <w:rPr>
          <w:rFonts w:ascii="Verdana" w:hAnsi="Verdana"/>
          <w:sz w:val="20"/>
        </w:rPr>
        <w:t>n</w:t>
      </w:r>
      <w:r w:rsidR="00E9799F">
        <w:rPr>
          <w:rFonts w:ascii="Verdana" w:hAnsi="Verdana"/>
          <w:sz w:val="20"/>
        </w:rPr>
        <w:t xml:space="preserve"> approach would require an analytical method that can reliably distinguish the PBT/vPvB MCCP constituents</w:t>
      </w:r>
      <w:r w:rsidR="001E4698">
        <w:rPr>
          <w:rFonts w:ascii="Verdana" w:hAnsi="Verdana"/>
          <w:sz w:val="20"/>
        </w:rPr>
        <w:t xml:space="preserve"> from the rest</w:t>
      </w:r>
      <w:r w:rsidR="00E9799F">
        <w:rPr>
          <w:rFonts w:ascii="Verdana" w:hAnsi="Verdana"/>
          <w:sz w:val="20"/>
        </w:rPr>
        <w:t xml:space="preserve">. </w:t>
      </w:r>
      <w:r w:rsidR="001E4698">
        <w:rPr>
          <w:rFonts w:ascii="Verdana" w:hAnsi="Verdana"/>
          <w:sz w:val="20"/>
        </w:rPr>
        <w:t>Fortunately, techniques such as High Resolution Mass Spectrometry offer a solution.</w:t>
      </w:r>
    </w:p>
    <w:p w14:paraId="7D023818" w14:textId="77777777" w:rsidR="0061109A" w:rsidRDefault="0061109A" w:rsidP="000E324D">
      <w:pPr>
        <w:pStyle w:val="BodyText"/>
        <w:spacing w:after="0"/>
        <w:rPr>
          <w:rFonts w:ascii="Verdana" w:hAnsi="Verdana"/>
          <w:sz w:val="20"/>
        </w:rPr>
      </w:pPr>
    </w:p>
    <w:p w14:paraId="68F9F35A" w14:textId="7C0871D8" w:rsidR="00627F05" w:rsidRDefault="00172EC1" w:rsidP="00744235">
      <w:pPr>
        <w:pStyle w:val="BodyText"/>
        <w:spacing w:after="0"/>
        <w:rPr>
          <w:rFonts w:ascii="Verdana" w:hAnsi="Verdana"/>
          <w:sz w:val="20"/>
        </w:rPr>
      </w:pPr>
      <w:r>
        <w:rPr>
          <w:rFonts w:ascii="Verdana" w:hAnsi="Verdana"/>
          <w:sz w:val="20"/>
        </w:rPr>
        <w:t xml:space="preserve">Restricting the marketing of </w:t>
      </w:r>
      <w:r w:rsidR="000578F2">
        <w:rPr>
          <w:rFonts w:ascii="Verdana" w:hAnsi="Verdana"/>
          <w:sz w:val="20"/>
        </w:rPr>
        <w:t>MCCPs</w:t>
      </w:r>
      <w:r w:rsidR="00607BBD">
        <w:rPr>
          <w:rFonts w:ascii="Verdana" w:hAnsi="Verdana"/>
          <w:sz w:val="20"/>
        </w:rPr>
        <w:t xml:space="preserve"> </w:t>
      </w:r>
      <w:r w:rsidR="000E324D" w:rsidRPr="001B0749">
        <w:rPr>
          <w:rFonts w:ascii="Verdana" w:hAnsi="Verdana"/>
          <w:sz w:val="20"/>
        </w:rPr>
        <w:t xml:space="preserve">would address emissions </w:t>
      </w:r>
      <w:r>
        <w:rPr>
          <w:rFonts w:ascii="Verdana" w:hAnsi="Verdana"/>
          <w:sz w:val="20"/>
        </w:rPr>
        <w:t xml:space="preserve">arising </w:t>
      </w:r>
      <w:r w:rsidR="000E324D" w:rsidRPr="001B0749">
        <w:rPr>
          <w:rFonts w:ascii="Verdana" w:hAnsi="Verdana"/>
          <w:sz w:val="20"/>
        </w:rPr>
        <w:t xml:space="preserve">from </w:t>
      </w:r>
      <w:r>
        <w:rPr>
          <w:rFonts w:ascii="Verdana" w:hAnsi="Verdana"/>
          <w:sz w:val="20"/>
        </w:rPr>
        <w:t>imports of both the substance and articles</w:t>
      </w:r>
      <w:r w:rsidR="000E324D" w:rsidRPr="001B0749">
        <w:rPr>
          <w:rFonts w:ascii="Verdana" w:hAnsi="Verdana"/>
          <w:sz w:val="20"/>
        </w:rPr>
        <w:t xml:space="preserve"> supplied to the EU. </w:t>
      </w:r>
      <w:r>
        <w:rPr>
          <w:rFonts w:ascii="Verdana" w:hAnsi="Verdana"/>
          <w:sz w:val="20"/>
        </w:rPr>
        <w:t>R</w:t>
      </w:r>
      <w:r w:rsidR="000E324D" w:rsidRPr="001B0749">
        <w:rPr>
          <w:rFonts w:ascii="Verdana" w:hAnsi="Verdana"/>
          <w:sz w:val="20"/>
        </w:rPr>
        <w:t xml:space="preserve">estriction would apply equally to </w:t>
      </w:r>
      <w:r>
        <w:rPr>
          <w:rFonts w:ascii="Verdana" w:hAnsi="Verdana"/>
          <w:sz w:val="20"/>
        </w:rPr>
        <w:t xml:space="preserve">both </w:t>
      </w:r>
      <w:r w:rsidR="000E324D" w:rsidRPr="001B0749">
        <w:rPr>
          <w:rFonts w:ascii="Verdana" w:hAnsi="Verdana"/>
          <w:sz w:val="20"/>
        </w:rPr>
        <w:t xml:space="preserve">imported articles and </w:t>
      </w:r>
      <w:r>
        <w:rPr>
          <w:rFonts w:ascii="Verdana" w:hAnsi="Verdana"/>
          <w:sz w:val="20"/>
        </w:rPr>
        <w:t>those</w:t>
      </w:r>
      <w:r w:rsidR="000E324D" w:rsidRPr="001B0749">
        <w:rPr>
          <w:rFonts w:ascii="Verdana" w:hAnsi="Verdana"/>
          <w:sz w:val="20"/>
        </w:rPr>
        <w:t xml:space="preserve"> manufactured within the EU. </w:t>
      </w:r>
      <w:r w:rsidR="000E324D" w:rsidRPr="004B2AF1">
        <w:rPr>
          <w:rFonts w:ascii="Verdana" w:hAnsi="Verdana"/>
          <w:sz w:val="20"/>
        </w:rPr>
        <w:t xml:space="preserve">However, the </w:t>
      </w:r>
      <w:r w:rsidR="000E324D" w:rsidRPr="004B2AF1">
        <w:rPr>
          <w:rFonts w:ascii="Verdana" w:hAnsi="Verdana"/>
          <w:sz w:val="20"/>
          <w:u w:val="single"/>
        </w:rPr>
        <w:t>lack of information</w:t>
      </w:r>
      <w:r w:rsidR="000E324D" w:rsidRPr="004B2AF1">
        <w:rPr>
          <w:rFonts w:ascii="Verdana" w:hAnsi="Verdana"/>
          <w:sz w:val="20"/>
        </w:rPr>
        <w:t xml:space="preserve"> on the actual types and q</w:t>
      </w:r>
      <w:r w:rsidR="009F5F89" w:rsidRPr="004B2AF1">
        <w:rPr>
          <w:rFonts w:ascii="Verdana" w:hAnsi="Verdana"/>
          <w:sz w:val="20"/>
        </w:rPr>
        <w:t xml:space="preserve">uantities of imported articles </w:t>
      </w:r>
      <w:r w:rsidR="000E324D" w:rsidRPr="004B2AF1">
        <w:rPr>
          <w:rFonts w:ascii="Verdana" w:hAnsi="Verdana"/>
          <w:sz w:val="20"/>
        </w:rPr>
        <w:t xml:space="preserve">and costs/feasibility of using other substances or technologies </w:t>
      </w:r>
      <w:r w:rsidR="006B5463">
        <w:rPr>
          <w:rFonts w:ascii="Verdana" w:hAnsi="Verdana"/>
          <w:sz w:val="20"/>
        </w:rPr>
        <w:t xml:space="preserve">would </w:t>
      </w:r>
      <w:r w:rsidR="00627F05">
        <w:rPr>
          <w:rFonts w:ascii="Verdana" w:hAnsi="Verdana"/>
          <w:sz w:val="20"/>
        </w:rPr>
        <w:t xml:space="preserve">need to be addressed in order to enable </w:t>
      </w:r>
      <w:r w:rsidR="004177BF">
        <w:rPr>
          <w:rFonts w:ascii="Verdana" w:hAnsi="Verdana"/>
          <w:sz w:val="20"/>
        </w:rPr>
        <w:t xml:space="preserve"> cost-benefit assessment</w:t>
      </w:r>
      <w:r w:rsidR="000E324D" w:rsidRPr="004B2AF1">
        <w:rPr>
          <w:rFonts w:ascii="Verdana" w:hAnsi="Verdana"/>
          <w:sz w:val="20"/>
        </w:rPr>
        <w:t>.</w:t>
      </w:r>
      <w:r w:rsidR="000E324D" w:rsidRPr="001B0749">
        <w:rPr>
          <w:rFonts w:ascii="Verdana" w:hAnsi="Verdana"/>
          <w:sz w:val="20"/>
        </w:rPr>
        <w:t xml:space="preserve"> </w:t>
      </w:r>
      <w:r w:rsidR="00627F05">
        <w:rPr>
          <w:rFonts w:ascii="Verdana" w:hAnsi="Verdana"/>
          <w:sz w:val="20"/>
        </w:rPr>
        <w:t xml:space="preserve">So as </w:t>
      </w:r>
      <w:r w:rsidR="00956422">
        <w:rPr>
          <w:rFonts w:ascii="Verdana" w:hAnsi="Verdana"/>
          <w:sz w:val="20"/>
        </w:rPr>
        <w:t xml:space="preserve">part of </w:t>
      </w:r>
      <w:r w:rsidR="004B2AF1">
        <w:rPr>
          <w:rFonts w:ascii="Verdana" w:hAnsi="Verdana"/>
          <w:sz w:val="20"/>
        </w:rPr>
        <w:t xml:space="preserve">considering a wide ranging </w:t>
      </w:r>
      <w:r w:rsidR="000E324D">
        <w:rPr>
          <w:rFonts w:ascii="Verdana" w:hAnsi="Verdana"/>
          <w:sz w:val="20"/>
        </w:rPr>
        <w:t xml:space="preserve">restriction </w:t>
      </w:r>
      <w:r w:rsidR="00636C12">
        <w:rPr>
          <w:rFonts w:ascii="Verdana" w:hAnsi="Verdana"/>
          <w:sz w:val="20"/>
        </w:rPr>
        <w:t xml:space="preserve">the UK CA </w:t>
      </w:r>
      <w:r w:rsidR="004B2AF1">
        <w:rPr>
          <w:rFonts w:ascii="Verdana" w:hAnsi="Verdana"/>
          <w:sz w:val="20"/>
        </w:rPr>
        <w:t xml:space="preserve">would </w:t>
      </w:r>
      <w:r w:rsidR="00956422">
        <w:rPr>
          <w:rFonts w:ascii="Verdana" w:hAnsi="Verdana"/>
          <w:sz w:val="20"/>
        </w:rPr>
        <w:t xml:space="preserve">want to seek </w:t>
      </w:r>
      <w:r w:rsidR="000E324D">
        <w:rPr>
          <w:rFonts w:ascii="Verdana" w:hAnsi="Verdana"/>
          <w:sz w:val="20"/>
        </w:rPr>
        <w:t>more reliable use and release information</w:t>
      </w:r>
      <w:r w:rsidR="00956422">
        <w:rPr>
          <w:rFonts w:ascii="Verdana" w:hAnsi="Verdana"/>
          <w:sz w:val="20"/>
        </w:rPr>
        <w:t>,</w:t>
      </w:r>
      <w:r w:rsidR="000E324D">
        <w:rPr>
          <w:rFonts w:ascii="Verdana" w:hAnsi="Verdana"/>
          <w:sz w:val="20"/>
        </w:rPr>
        <w:t xml:space="preserve"> together with socio-economic data.</w:t>
      </w:r>
    </w:p>
    <w:p w14:paraId="1F035819" w14:textId="77777777" w:rsidR="00627F05" w:rsidRDefault="00627F05" w:rsidP="00744235">
      <w:pPr>
        <w:pStyle w:val="BodyText"/>
        <w:spacing w:after="0"/>
        <w:rPr>
          <w:rFonts w:ascii="Verdana" w:hAnsi="Verdana"/>
          <w:sz w:val="20"/>
        </w:rPr>
      </w:pPr>
    </w:p>
    <w:p w14:paraId="75495378" w14:textId="4BD95541" w:rsidR="000E324D" w:rsidRDefault="00956422" w:rsidP="00F26A8B">
      <w:pPr>
        <w:pStyle w:val="BodyText"/>
        <w:spacing w:after="0"/>
        <w:rPr>
          <w:rFonts w:ascii="Verdana" w:hAnsi="Verdana"/>
          <w:sz w:val="20"/>
        </w:rPr>
      </w:pPr>
      <w:r>
        <w:rPr>
          <w:rFonts w:ascii="Verdana" w:hAnsi="Verdana"/>
          <w:sz w:val="20"/>
        </w:rPr>
        <w:t>A wide ranging restriction p</w:t>
      </w:r>
      <w:r w:rsidR="000E324D">
        <w:rPr>
          <w:rFonts w:ascii="Verdana" w:hAnsi="Verdana"/>
          <w:sz w:val="20"/>
        </w:rPr>
        <w:t xml:space="preserve">roposal </w:t>
      </w:r>
      <w:r w:rsidR="00064A11">
        <w:rPr>
          <w:rFonts w:ascii="Verdana" w:hAnsi="Verdana"/>
          <w:sz w:val="20"/>
        </w:rPr>
        <w:t>would be</w:t>
      </w:r>
      <w:r w:rsidR="000E324D">
        <w:rPr>
          <w:rFonts w:ascii="Verdana" w:hAnsi="Verdana"/>
          <w:sz w:val="20"/>
        </w:rPr>
        <w:t xml:space="preserve"> likely to trigger a number of requests for derogation during public consultation</w:t>
      </w:r>
      <w:r>
        <w:rPr>
          <w:rFonts w:ascii="Verdana" w:hAnsi="Verdana"/>
          <w:sz w:val="20"/>
        </w:rPr>
        <w:t>;</w:t>
      </w:r>
      <w:r w:rsidR="000E324D">
        <w:rPr>
          <w:rFonts w:ascii="Verdana" w:hAnsi="Verdana"/>
          <w:sz w:val="20"/>
        </w:rPr>
        <w:t xml:space="preserve"> </w:t>
      </w:r>
      <w:r>
        <w:rPr>
          <w:rFonts w:ascii="Verdana" w:hAnsi="Verdana"/>
          <w:sz w:val="20"/>
        </w:rPr>
        <w:t>f</w:t>
      </w:r>
      <w:r w:rsidR="000E324D" w:rsidRPr="001B0749">
        <w:rPr>
          <w:rFonts w:ascii="Verdana" w:hAnsi="Verdana"/>
          <w:sz w:val="20"/>
        </w:rPr>
        <w:t>urther information on end uses</w:t>
      </w:r>
      <w:r w:rsidR="00064A11">
        <w:rPr>
          <w:rFonts w:ascii="Verdana" w:hAnsi="Verdana"/>
          <w:sz w:val="20"/>
        </w:rPr>
        <w:t>, emissions</w:t>
      </w:r>
      <w:r w:rsidR="000E324D" w:rsidRPr="001B0749">
        <w:rPr>
          <w:rFonts w:ascii="Verdana" w:hAnsi="Verdana"/>
          <w:sz w:val="20"/>
        </w:rPr>
        <w:t xml:space="preserve"> and exposure </w:t>
      </w:r>
      <w:r w:rsidR="00064A11">
        <w:rPr>
          <w:rFonts w:ascii="Verdana" w:hAnsi="Verdana"/>
          <w:sz w:val="20"/>
        </w:rPr>
        <w:t>would enable more</w:t>
      </w:r>
      <w:r w:rsidR="000E324D" w:rsidRPr="001B0749">
        <w:rPr>
          <w:rFonts w:ascii="Verdana" w:hAnsi="Verdana"/>
          <w:sz w:val="20"/>
        </w:rPr>
        <w:t xml:space="preserve"> </w:t>
      </w:r>
      <w:r w:rsidR="00064A11">
        <w:rPr>
          <w:rFonts w:ascii="Verdana" w:hAnsi="Verdana"/>
          <w:sz w:val="20"/>
        </w:rPr>
        <w:t xml:space="preserve">effective </w:t>
      </w:r>
      <w:r w:rsidR="006B5463">
        <w:rPr>
          <w:rFonts w:ascii="Verdana" w:hAnsi="Verdana"/>
          <w:sz w:val="20"/>
        </w:rPr>
        <w:t xml:space="preserve">and proportionate </w:t>
      </w:r>
      <w:r w:rsidR="00064A11">
        <w:rPr>
          <w:rFonts w:ascii="Verdana" w:hAnsi="Verdana"/>
          <w:sz w:val="20"/>
        </w:rPr>
        <w:t xml:space="preserve">targeting of a </w:t>
      </w:r>
      <w:r w:rsidR="000E324D">
        <w:rPr>
          <w:rFonts w:ascii="Verdana" w:hAnsi="Verdana"/>
          <w:sz w:val="20"/>
        </w:rPr>
        <w:t>restriction</w:t>
      </w:r>
      <w:r w:rsidR="00064A11">
        <w:rPr>
          <w:rFonts w:ascii="Verdana" w:hAnsi="Verdana"/>
          <w:sz w:val="20"/>
        </w:rPr>
        <w:t>.</w:t>
      </w:r>
      <w:r w:rsidR="000E324D" w:rsidRPr="001B0749">
        <w:rPr>
          <w:rFonts w:ascii="Verdana" w:hAnsi="Verdana"/>
          <w:sz w:val="20"/>
        </w:rPr>
        <w:t xml:space="preserve"> </w:t>
      </w:r>
      <w:r w:rsidR="00064A11">
        <w:rPr>
          <w:rFonts w:ascii="Verdana" w:hAnsi="Verdana"/>
          <w:sz w:val="20"/>
        </w:rPr>
        <w:t>Nevertheless, a</w:t>
      </w:r>
      <w:r w:rsidR="00163D4B">
        <w:rPr>
          <w:rFonts w:ascii="Verdana" w:hAnsi="Verdana"/>
          <w:sz w:val="20"/>
        </w:rPr>
        <w:t xml:space="preserve"> decision to implement an initially</w:t>
      </w:r>
      <w:r w:rsidR="00064A11">
        <w:rPr>
          <w:rFonts w:ascii="Verdana" w:hAnsi="Verdana"/>
          <w:sz w:val="20"/>
        </w:rPr>
        <w:t xml:space="preserve"> narrow restriction scope </w:t>
      </w:r>
      <w:r w:rsidR="00163D4B">
        <w:rPr>
          <w:rFonts w:ascii="Verdana" w:hAnsi="Verdana"/>
          <w:sz w:val="20"/>
        </w:rPr>
        <w:t xml:space="preserve">would not preclude widening the scope later in response to more information. </w:t>
      </w:r>
    </w:p>
    <w:p w14:paraId="191427D2" w14:textId="77777777" w:rsidR="000E324D" w:rsidRDefault="000E324D" w:rsidP="000E324D">
      <w:pPr>
        <w:pStyle w:val="BodyText"/>
        <w:spacing w:after="0"/>
        <w:rPr>
          <w:rFonts w:ascii="Verdana" w:hAnsi="Verdana"/>
          <w:sz w:val="20"/>
        </w:rPr>
      </w:pPr>
    </w:p>
    <w:p w14:paraId="066B1AF4" w14:textId="24CB89FD" w:rsidR="000E324D" w:rsidRPr="001B0749" w:rsidRDefault="000E324D" w:rsidP="000E324D">
      <w:pPr>
        <w:pStyle w:val="BodyText"/>
        <w:spacing w:after="0"/>
        <w:rPr>
          <w:rFonts w:ascii="Verdana" w:hAnsi="Verdana"/>
          <w:sz w:val="20"/>
        </w:rPr>
      </w:pPr>
      <w:r w:rsidRPr="001B0749">
        <w:rPr>
          <w:rFonts w:ascii="Verdana" w:hAnsi="Verdana"/>
          <w:sz w:val="20"/>
        </w:rPr>
        <w:t xml:space="preserve">The introduction of restrictions on </w:t>
      </w:r>
      <w:r w:rsidR="000578F2">
        <w:rPr>
          <w:rFonts w:ascii="Verdana" w:hAnsi="Verdana"/>
          <w:sz w:val="20"/>
        </w:rPr>
        <w:t>MCCPs</w:t>
      </w:r>
      <w:r w:rsidR="00607BBD">
        <w:rPr>
          <w:rFonts w:ascii="Verdana" w:hAnsi="Verdana"/>
          <w:sz w:val="20"/>
        </w:rPr>
        <w:t xml:space="preserve"> </w:t>
      </w:r>
      <w:r w:rsidRPr="001B0749">
        <w:rPr>
          <w:rFonts w:ascii="Verdana" w:hAnsi="Verdana"/>
          <w:sz w:val="20"/>
        </w:rPr>
        <w:t>would require the identification of suitable alternatives for all uses that fall within the scope of the restriction. Consideration would need to be given to the substitutes available (or not)</w:t>
      </w:r>
      <w:r w:rsidR="00956422">
        <w:rPr>
          <w:rFonts w:ascii="Verdana" w:hAnsi="Verdana"/>
          <w:sz w:val="20"/>
        </w:rPr>
        <w:t>,</w:t>
      </w:r>
      <w:r w:rsidRPr="001B0749">
        <w:rPr>
          <w:rFonts w:ascii="Verdana" w:hAnsi="Verdana"/>
          <w:sz w:val="20"/>
        </w:rPr>
        <w:t xml:space="preserve"> their cost and effectiveness compared to </w:t>
      </w:r>
      <w:r w:rsidR="000578F2">
        <w:rPr>
          <w:rFonts w:ascii="Verdana" w:hAnsi="Verdana"/>
          <w:sz w:val="20"/>
        </w:rPr>
        <w:t>MCCPs</w:t>
      </w:r>
      <w:r w:rsidR="00607BBD">
        <w:rPr>
          <w:rFonts w:ascii="Verdana" w:hAnsi="Verdana"/>
          <w:sz w:val="20"/>
        </w:rPr>
        <w:t>,</w:t>
      </w:r>
      <w:r w:rsidRPr="001B0749">
        <w:rPr>
          <w:rFonts w:ascii="Verdana" w:hAnsi="Verdana"/>
          <w:sz w:val="20"/>
        </w:rPr>
        <w:t xml:space="preserve"> their hazard properties, and timescale</w:t>
      </w:r>
      <w:r w:rsidR="00163D4B">
        <w:rPr>
          <w:rFonts w:ascii="Verdana" w:hAnsi="Verdana"/>
          <w:sz w:val="20"/>
        </w:rPr>
        <w:t>s</w:t>
      </w:r>
      <w:r w:rsidRPr="001B0749">
        <w:rPr>
          <w:rFonts w:ascii="Verdana" w:hAnsi="Verdana"/>
          <w:sz w:val="20"/>
        </w:rPr>
        <w:t xml:space="preserve"> for product safety testing and re-certification. Companies would be expected to consider comparative hazards and risks of any substitutes before switching. </w:t>
      </w:r>
    </w:p>
    <w:p w14:paraId="55F5C95F" w14:textId="77777777" w:rsidR="000E324D" w:rsidRPr="001B0749" w:rsidRDefault="000E324D" w:rsidP="000E324D">
      <w:pPr>
        <w:pStyle w:val="BodyText"/>
        <w:spacing w:after="0"/>
        <w:rPr>
          <w:rFonts w:ascii="Verdana" w:hAnsi="Verdana"/>
          <w:sz w:val="20"/>
        </w:rPr>
      </w:pPr>
    </w:p>
    <w:p w14:paraId="513B2D55" w14:textId="3C20DD8B" w:rsidR="000E324D" w:rsidRDefault="000E324D" w:rsidP="000E324D">
      <w:pPr>
        <w:pStyle w:val="BodyText"/>
        <w:spacing w:after="0"/>
        <w:rPr>
          <w:rFonts w:ascii="Verdana" w:hAnsi="Verdana"/>
          <w:sz w:val="20"/>
        </w:rPr>
      </w:pPr>
      <w:r w:rsidRPr="001B0749">
        <w:rPr>
          <w:rFonts w:ascii="Verdana" w:hAnsi="Verdana"/>
          <w:sz w:val="20"/>
        </w:rPr>
        <w:t xml:space="preserve">Restrictions that place limitations on the supply and use of </w:t>
      </w:r>
      <w:r w:rsidR="000578F2">
        <w:rPr>
          <w:rFonts w:ascii="Verdana" w:hAnsi="Verdana"/>
          <w:sz w:val="20"/>
        </w:rPr>
        <w:t>MCCPs</w:t>
      </w:r>
      <w:r w:rsidR="00607BBD">
        <w:rPr>
          <w:rFonts w:ascii="Verdana" w:hAnsi="Verdana"/>
          <w:sz w:val="20"/>
        </w:rPr>
        <w:t xml:space="preserve"> </w:t>
      </w:r>
      <w:r w:rsidRPr="001B0749">
        <w:rPr>
          <w:rFonts w:ascii="Verdana" w:hAnsi="Verdana"/>
          <w:sz w:val="20"/>
        </w:rPr>
        <w:t>w</w:t>
      </w:r>
      <w:r w:rsidR="00383222">
        <w:rPr>
          <w:rFonts w:ascii="Verdana" w:hAnsi="Verdana"/>
          <w:sz w:val="20"/>
        </w:rPr>
        <w:t>ould</w:t>
      </w:r>
      <w:r w:rsidRPr="001B0749">
        <w:rPr>
          <w:rFonts w:ascii="Verdana" w:hAnsi="Verdana"/>
          <w:sz w:val="20"/>
        </w:rPr>
        <w:t xml:space="preserve"> need to take into account the difficulties of separating materials that may contain </w:t>
      </w:r>
      <w:r w:rsidR="000578F2">
        <w:rPr>
          <w:rFonts w:ascii="Verdana" w:hAnsi="Verdana"/>
          <w:sz w:val="20"/>
        </w:rPr>
        <w:t>MCCPs</w:t>
      </w:r>
      <w:r w:rsidR="00607BBD">
        <w:rPr>
          <w:rFonts w:ascii="Verdana" w:hAnsi="Verdana"/>
          <w:sz w:val="20"/>
        </w:rPr>
        <w:t xml:space="preserve"> </w:t>
      </w:r>
      <w:r w:rsidRPr="001B0749">
        <w:rPr>
          <w:rFonts w:ascii="Verdana" w:hAnsi="Verdana"/>
          <w:sz w:val="20"/>
        </w:rPr>
        <w:t xml:space="preserve">at the waste sorting stage and the economic benefits of recycling materials which may contain greater concentrations of </w:t>
      </w:r>
      <w:r w:rsidR="000578F2">
        <w:rPr>
          <w:rFonts w:ascii="Verdana" w:hAnsi="Verdana"/>
          <w:sz w:val="20"/>
        </w:rPr>
        <w:t>MCCPs</w:t>
      </w:r>
      <w:r w:rsidR="00607BBD">
        <w:rPr>
          <w:rFonts w:ascii="Verdana" w:hAnsi="Verdana"/>
          <w:sz w:val="20"/>
        </w:rPr>
        <w:t xml:space="preserve"> </w:t>
      </w:r>
      <w:r w:rsidRPr="001B0749">
        <w:rPr>
          <w:rFonts w:ascii="Verdana" w:hAnsi="Verdana"/>
          <w:sz w:val="20"/>
        </w:rPr>
        <w:t xml:space="preserve">than is desirable in new materials. Although specific derogations for recycled material may be a possible solution, there </w:t>
      </w:r>
      <w:r>
        <w:rPr>
          <w:rFonts w:ascii="Verdana" w:hAnsi="Verdana"/>
          <w:sz w:val="20"/>
        </w:rPr>
        <w:t>could</w:t>
      </w:r>
      <w:r w:rsidRPr="001B0749">
        <w:rPr>
          <w:rFonts w:ascii="Verdana" w:hAnsi="Verdana"/>
          <w:sz w:val="20"/>
        </w:rPr>
        <w:t xml:space="preserve"> be difficulties in enforcement if there are different requirements for recycled and new materials. </w:t>
      </w:r>
      <w:r w:rsidR="006B5463">
        <w:rPr>
          <w:rFonts w:ascii="Verdana" w:hAnsi="Verdana"/>
          <w:sz w:val="20"/>
        </w:rPr>
        <w:t>T</w:t>
      </w:r>
      <w:r>
        <w:rPr>
          <w:rFonts w:ascii="Verdana" w:hAnsi="Verdana"/>
          <w:sz w:val="20"/>
        </w:rPr>
        <w:t xml:space="preserve">his is an issue that has also been encountered for other restricted substances used in plastics, </w:t>
      </w:r>
      <w:r w:rsidRPr="00DE1B9A">
        <w:rPr>
          <w:rFonts w:ascii="Verdana" w:hAnsi="Verdana"/>
          <w:sz w:val="20"/>
        </w:rPr>
        <w:t xml:space="preserve">such as </w:t>
      </w:r>
      <w:proofErr w:type="spellStart"/>
      <w:r w:rsidR="00636C12">
        <w:rPr>
          <w:rFonts w:ascii="Verdana" w:hAnsi="Verdana"/>
          <w:sz w:val="20"/>
        </w:rPr>
        <w:t>b</w:t>
      </w:r>
      <w:r w:rsidRPr="00636C12">
        <w:rPr>
          <w:rFonts w:ascii="Verdana" w:hAnsi="Verdana"/>
          <w:sz w:val="20"/>
        </w:rPr>
        <w:t>is</w:t>
      </w:r>
      <w:proofErr w:type="spellEnd"/>
      <w:r w:rsidRPr="00636C12">
        <w:rPr>
          <w:rFonts w:ascii="Verdana" w:hAnsi="Verdana"/>
          <w:sz w:val="20"/>
        </w:rPr>
        <w:t>(2-ethylhexyl) phthalate (DEHP)</w:t>
      </w:r>
      <w:r w:rsidR="006B5463">
        <w:rPr>
          <w:rFonts w:ascii="Verdana" w:hAnsi="Verdana"/>
          <w:sz w:val="20"/>
        </w:rPr>
        <w:t xml:space="preserve">, lead in PVC and </w:t>
      </w:r>
      <w:proofErr w:type="spellStart"/>
      <w:r w:rsidR="006B5463">
        <w:rPr>
          <w:rFonts w:ascii="Verdana" w:hAnsi="Verdana"/>
          <w:sz w:val="20"/>
        </w:rPr>
        <w:t>decaBDE</w:t>
      </w:r>
      <w:proofErr w:type="spellEnd"/>
      <w:r w:rsidR="00956422" w:rsidRPr="00636C12">
        <w:rPr>
          <w:rFonts w:ascii="Verdana" w:hAnsi="Verdana"/>
          <w:sz w:val="20"/>
        </w:rPr>
        <w:t>.</w:t>
      </w:r>
      <w:r>
        <w:rPr>
          <w:rFonts w:ascii="Verdana" w:hAnsi="Verdana"/>
          <w:sz w:val="20"/>
        </w:rPr>
        <w:t xml:space="preserve"> </w:t>
      </w:r>
      <w:r w:rsidR="00956422">
        <w:rPr>
          <w:rFonts w:ascii="Verdana" w:hAnsi="Verdana"/>
          <w:sz w:val="20"/>
        </w:rPr>
        <w:t>W</w:t>
      </w:r>
      <w:r>
        <w:rPr>
          <w:rFonts w:ascii="Verdana" w:hAnsi="Verdana"/>
          <w:sz w:val="20"/>
        </w:rPr>
        <w:t xml:space="preserve">hen a solution for this is found it could also be adopted for </w:t>
      </w:r>
      <w:r w:rsidR="000578F2">
        <w:rPr>
          <w:rFonts w:ascii="Verdana" w:hAnsi="Verdana"/>
          <w:sz w:val="20"/>
        </w:rPr>
        <w:t>MCCPs</w:t>
      </w:r>
      <w:r w:rsidR="00607BBD">
        <w:rPr>
          <w:rFonts w:ascii="Verdana" w:hAnsi="Verdana"/>
          <w:sz w:val="20"/>
        </w:rPr>
        <w:t>.</w:t>
      </w:r>
    </w:p>
    <w:p w14:paraId="3F6F2459" w14:textId="77777777" w:rsidR="00573623" w:rsidRDefault="00573623" w:rsidP="000E324D">
      <w:pPr>
        <w:pStyle w:val="BodyText"/>
        <w:spacing w:after="0"/>
        <w:rPr>
          <w:rFonts w:ascii="Verdana" w:hAnsi="Verdana"/>
          <w:sz w:val="20"/>
        </w:rPr>
      </w:pPr>
    </w:p>
    <w:p w14:paraId="25D2460C" w14:textId="53DFF922" w:rsidR="00573623" w:rsidRPr="001B0749" w:rsidRDefault="00636C12" w:rsidP="000E324D">
      <w:pPr>
        <w:pStyle w:val="BodyText"/>
        <w:spacing w:after="0"/>
        <w:rPr>
          <w:rFonts w:ascii="Verdana" w:hAnsi="Verdana"/>
          <w:sz w:val="20"/>
        </w:rPr>
      </w:pPr>
      <w:r>
        <w:rPr>
          <w:rFonts w:ascii="Verdana" w:hAnsi="Verdana"/>
          <w:sz w:val="20"/>
        </w:rPr>
        <w:t>The UK CA</w:t>
      </w:r>
      <w:r w:rsidR="00573623">
        <w:rPr>
          <w:rFonts w:ascii="Verdana" w:hAnsi="Verdana"/>
          <w:sz w:val="20"/>
        </w:rPr>
        <w:t xml:space="preserve"> conclude</w:t>
      </w:r>
      <w:r>
        <w:rPr>
          <w:rFonts w:ascii="Verdana" w:hAnsi="Verdana"/>
          <w:sz w:val="20"/>
        </w:rPr>
        <w:t>s</w:t>
      </w:r>
      <w:r w:rsidR="00573623">
        <w:rPr>
          <w:rFonts w:ascii="Verdana" w:hAnsi="Verdana"/>
          <w:sz w:val="20"/>
        </w:rPr>
        <w:t xml:space="preserve"> that Restriction </w:t>
      </w:r>
      <w:r w:rsidR="006B5463">
        <w:rPr>
          <w:rFonts w:ascii="Verdana" w:hAnsi="Verdana"/>
          <w:sz w:val="20"/>
        </w:rPr>
        <w:t>w</w:t>
      </w:r>
      <w:r w:rsidR="00573623">
        <w:rPr>
          <w:rFonts w:ascii="Verdana" w:hAnsi="Verdana"/>
          <w:sz w:val="20"/>
        </w:rPr>
        <w:t>ould be a</w:t>
      </w:r>
      <w:r w:rsidR="006B5463">
        <w:rPr>
          <w:rFonts w:ascii="Verdana" w:hAnsi="Verdana"/>
          <w:sz w:val="20"/>
        </w:rPr>
        <w:t xml:space="preserve"> more</w:t>
      </w:r>
      <w:r w:rsidR="00573623">
        <w:rPr>
          <w:rFonts w:ascii="Verdana" w:hAnsi="Verdana"/>
          <w:sz w:val="20"/>
        </w:rPr>
        <w:t xml:space="preserve"> effective regulatory option </w:t>
      </w:r>
      <w:r w:rsidR="006B5463">
        <w:rPr>
          <w:rFonts w:ascii="Verdana" w:hAnsi="Verdana"/>
          <w:sz w:val="20"/>
        </w:rPr>
        <w:t xml:space="preserve">than authorisation </w:t>
      </w:r>
      <w:r w:rsidR="00573623">
        <w:rPr>
          <w:rFonts w:ascii="Verdana" w:hAnsi="Verdana"/>
          <w:sz w:val="20"/>
        </w:rPr>
        <w:t xml:space="preserve">for minimising releases of </w:t>
      </w:r>
      <w:r w:rsidR="000578F2">
        <w:rPr>
          <w:rFonts w:ascii="Verdana" w:hAnsi="Verdana"/>
          <w:sz w:val="20"/>
        </w:rPr>
        <w:t>MCCPs</w:t>
      </w:r>
      <w:r w:rsidR="00607BBD">
        <w:rPr>
          <w:rFonts w:ascii="Verdana" w:hAnsi="Verdana"/>
          <w:sz w:val="20"/>
        </w:rPr>
        <w:t xml:space="preserve"> </w:t>
      </w:r>
      <w:r w:rsidR="00573623">
        <w:rPr>
          <w:rFonts w:ascii="Verdana" w:hAnsi="Verdana"/>
          <w:sz w:val="20"/>
        </w:rPr>
        <w:t>to the environment, including from imported articles. As a prerequisite, estimates of emissions would need to be re</w:t>
      </w:r>
      <w:r>
        <w:rPr>
          <w:rFonts w:ascii="Verdana" w:hAnsi="Verdana"/>
          <w:sz w:val="20"/>
        </w:rPr>
        <w:t>fined</w:t>
      </w:r>
      <w:r w:rsidR="00573623">
        <w:rPr>
          <w:rFonts w:ascii="Verdana" w:hAnsi="Verdana"/>
          <w:sz w:val="20"/>
        </w:rPr>
        <w:t xml:space="preserve"> and a socio-economic analysis conducted, taking into account the availability</w:t>
      </w:r>
      <w:r>
        <w:rPr>
          <w:rFonts w:ascii="Verdana" w:hAnsi="Verdana"/>
          <w:sz w:val="20"/>
        </w:rPr>
        <w:t xml:space="preserve"> and technical performance</w:t>
      </w:r>
      <w:r w:rsidR="00573623">
        <w:rPr>
          <w:rFonts w:ascii="Verdana" w:hAnsi="Verdana"/>
          <w:sz w:val="20"/>
        </w:rPr>
        <w:t xml:space="preserve"> of alternative substances</w:t>
      </w:r>
      <w:r w:rsidR="00E47523">
        <w:rPr>
          <w:rFonts w:ascii="Verdana" w:hAnsi="Verdana"/>
          <w:sz w:val="20"/>
        </w:rPr>
        <w:t>.</w:t>
      </w:r>
      <w:r w:rsidR="00573623">
        <w:rPr>
          <w:rFonts w:ascii="Verdana" w:hAnsi="Verdana"/>
          <w:sz w:val="20"/>
        </w:rPr>
        <w:t xml:space="preserve">   </w:t>
      </w:r>
    </w:p>
    <w:p w14:paraId="04FE9B54" w14:textId="77777777" w:rsidR="00573623" w:rsidRDefault="00573623" w:rsidP="000E324D">
      <w:pPr>
        <w:pStyle w:val="BodyText"/>
        <w:spacing w:after="0"/>
        <w:rPr>
          <w:rFonts w:ascii="Verdana" w:hAnsi="Verdana"/>
          <w:b/>
          <w:sz w:val="20"/>
        </w:rPr>
      </w:pPr>
    </w:p>
    <w:p w14:paraId="4C97BE4C" w14:textId="77777777" w:rsidR="000E324D" w:rsidRPr="001B0749" w:rsidRDefault="000E324D" w:rsidP="000E324D">
      <w:pPr>
        <w:pStyle w:val="BodyText"/>
        <w:spacing w:after="0"/>
        <w:rPr>
          <w:rFonts w:ascii="Verdana" w:hAnsi="Verdana"/>
          <w:b/>
          <w:sz w:val="20"/>
        </w:rPr>
      </w:pPr>
      <w:r w:rsidRPr="001B0749">
        <w:rPr>
          <w:rFonts w:ascii="Verdana" w:hAnsi="Verdana"/>
          <w:b/>
          <w:sz w:val="20"/>
        </w:rPr>
        <w:t>RoHS Directive</w:t>
      </w:r>
    </w:p>
    <w:p w14:paraId="746C4505" w14:textId="77777777" w:rsidR="000E324D" w:rsidRPr="001B0749" w:rsidRDefault="000E324D" w:rsidP="000E324D">
      <w:pPr>
        <w:pStyle w:val="BodyText"/>
        <w:spacing w:after="0"/>
        <w:rPr>
          <w:rFonts w:ascii="Verdana" w:hAnsi="Verdana"/>
          <w:i/>
          <w:sz w:val="20"/>
        </w:rPr>
      </w:pPr>
    </w:p>
    <w:p w14:paraId="3A3EF4C5" w14:textId="12C278BA" w:rsidR="00021141" w:rsidRPr="00021141" w:rsidRDefault="008808FF" w:rsidP="000E324D">
      <w:pPr>
        <w:pStyle w:val="BodyText"/>
        <w:spacing w:after="0"/>
        <w:rPr>
          <w:rFonts w:ascii="Verdana" w:hAnsi="Verdana"/>
          <w:sz w:val="20"/>
        </w:rPr>
      </w:pPr>
      <w:r>
        <w:rPr>
          <w:rFonts w:ascii="Verdana" w:hAnsi="Verdana"/>
          <w:sz w:val="20"/>
        </w:rPr>
        <w:t xml:space="preserve">Some uses of </w:t>
      </w:r>
      <w:r w:rsidR="000578F2">
        <w:rPr>
          <w:rFonts w:ascii="Verdana" w:hAnsi="Verdana"/>
          <w:sz w:val="20"/>
        </w:rPr>
        <w:t>MCCPs</w:t>
      </w:r>
      <w:r w:rsidR="00607BBD">
        <w:rPr>
          <w:rFonts w:ascii="Verdana" w:hAnsi="Verdana"/>
          <w:sz w:val="20"/>
        </w:rPr>
        <w:t xml:space="preserve"> </w:t>
      </w:r>
      <w:r w:rsidR="00DD48F6">
        <w:rPr>
          <w:rFonts w:ascii="Verdana" w:hAnsi="Verdana"/>
          <w:sz w:val="20"/>
        </w:rPr>
        <w:t xml:space="preserve">- </w:t>
      </w:r>
      <w:r>
        <w:rPr>
          <w:rFonts w:ascii="Verdana" w:hAnsi="Verdana"/>
          <w:sz w:val="20"/>
        </w:rPr>
        <w:t xml:space="preserve">for example in </w:t>
      </w:r>
      <w:r w:rsidR="006B3EC8">
        <w:rPr>
          <w:rFonts w:ascii="Verdana" w:hAnsi="Verdana"/>
          <w:sz w:val="20"/>
        </w:rPr>
        <w:t xml:space="preserve">the </w:t>
      </w:r>
      <w:r>
        <w:rPr>
          <w:rFonts w:ascii="Verdana" w:hAnsi="Verdana"/>
          <w:sz w:val="20"/>
        </w:rPr>
        <w:t xml:space="preserve">PVC </w:t>
      </w:r>
      <w:r w:rsidR="006B3EC8">
        <w:rPr>
          <w:rFonts w:ascii="Verdana" w:hAnsi="Verdana"/>
          <w:sz w:val="20"/>
        </w:rPr>
        <w:t xml:space="preserve">and rubber jackets of </w:t>
      </w:r>
      <w:r>
        <w:rPr>
          <w:rFonts w:ascii="Verdana" w:hAnsi="Verdana"/>
          <w:sz w:val="20"/>
        </w:rPr>
        <w:t>electrical cables</w:t>
      </w:r>
      <w:r w:rsidR="00DD48F6">
        <w:rPr>
          <w:rFonts w:ascii="Verdana" w:hAnsi="Verdana"/>
          <w:sz w:val="20"/>
        </w:rPr>
        <w:t xml:space="preserve"> </w:t>
      </w:r>
      <w:r w:rsidR="00021141">
        <w:rPr>
          <w:rFonts w:ascii="Verdana" w:hAnsi="Verdana"/>
          <w:sz w:val="20"/>
        </w:rPr>
        <w:t xml:space="preserve">and wires </w:t>
      </w:r>
      <w:r w:rsidR="00DD48F6">
        <w:rPr>
          <w:rFonts w:ascii="Verdana" w:hAnsi="Verdana"/>
          <w:sz w:val="20"/>
        </w:rPr>
        <w:t>-</w:t>
      </w:r>
      <w:r w:rsidR="000E324D" w:rsidRPr="001B0749">
        <w:rPr>
          <w:rFonts w:ascii="Verdana" w:hAnsi="Verdana"/>
          <w:sz w:val="20"/>
        </w:rPr>
        <w:t xml:space="preserve"> fall within scope of the Restriction of the Use of Certain Hazardous Substances (RoHS) in Electrical and Electronic Equipment (EEE) Directive (2011/65/EU). This restricts (with </w:t>
      </w:r>
      <w:r w:rsidR="00EB6410">
        <w:rPr>
          <w:rFonts w:ascii="Verdana" w:hAnsi="Verdana"/>
          <w:sz w:val="20"/>
        </w:rPr>
        <w:t xml:space="preserve">some </w:t>
      </w:r>
      <w:r w:rsidR="000E324D" w:rsidRPr="001B0749">
        <w:rPr>
          <w:rFonts w:ascii="Verdana" w:hAnsi="Verdana"/>
          <w:sz w:val="20"/>
        </w:rPr>
        <w:t>exceptions) the use of listed</w:t>
      </w:r>
      <w:r w:rsidR="005E179B">
        <w:rPr>
          <w:rFonts w:ascii="Verdana" w:hAnsi="Verdana"/>
          <w:sz w:val="20"/>
        </w:rPr>
        <w:t xml:space="preserve"> (Annex II)</w:t>
      </w:r>
      <w:r w:rsidR="000E324D" w:rsidRPr="001B0749">
        <w:rPr>
          <w:rFonts w:ascii="Verdana" w:hAnsi="Verdana"/>
          <w:sz w:val="20"/>
        </w:rPr>
        <w:t xml:space="preserve"> hazardous substances in the manufacture of various types of electronic and electrical equipment. </w:t>
      </w:r>
      <w:r w:rsidR="000578F2">
        <w:rPr>
          <w:rFonts w:ascii="Verdana" w:hAnsi="Verdana"/>
          <w:sz w:val="20"/>
        </w:rPr>
        <w:t>MCCPs</w:t>
      </w:r>
      <w:r w:rsidR="00607BBD">
        <w:rPr>
          <w:rFonts w:ascii="Verdana" w:hAnsi="Verdana"/>
          <w:sz w:val="20"/>
        </w:rPr>
        <w:t xml:space="preserve"> </w:t>
      </w:r>
      <w:r w:rsidR="000E324D" w:rsidRPr="001B0749">
        <w:rPr>
          <w:rFonts w:ascii="Verdana" w:hAnsi="Verdana"/>
          <w:sz w:val="20"/>
        </w:rPr>
        <w:t>is not currently listed as a restricted substance under RoHS.</w:t>
      </w:r>
      <w:r w:rsidR="00021141" w:rsidRPr="00021141">
        <w:t xml:space="preserve"> </w:t>
      </w:r>
      <w:r w:rsidR="00021141" w:rsidRPr="00021141">
        <w:rPr>
          <w:rFonts w:ascii="Verdana" w:hAnsi="Verdana"/>
          <w:sz w:val="20"/>
        </w:rPr>
        <w:t xml:space="preserve">In June 2018 </w:t>
      </w:r>
      <w:r w:rsidR="00021141">
        <w:rPr>
          <w:rFonts w:ascii="Verdana" w:hAnsi="Verdana"/>
          <w:sz w:val="20"/>
        </w:rPr>
        <w:t>the Swedish Chemicals Agency (</w:t>
      </w:r>
      <w:r w:rsidR="00021141" w:rsidRPr="00021141">
        <w:rPr>
          <w:rFonts w:ascii="Verdana" w:hAnsi="Verdana"/>
          <w:sz w:val="20"/>
        </w:rPr>
        <w:t>KEMI</w:t>
      </w:r>
      <w:r w:rsidR="00021141">
        <w:rPr>
          <w:rFonts w:ascii="Verdana" w:hAnsi="Verdana"/>
          <w:sz w:val="20"/>
        </w:rPr>
        <w:t>)</w:t>
      </w:r>
      <w:r w:rsidR="00021141" w:rsidRPr="00021141">
        <w:rPr>
          <w:rFonts w:ascii="Verdana" w:hAnsi="Verdana"/>
          <w:sz w:val="20"/>
        </w:rPr>
        <w:t xml:space="preserve"> submitted a restriction </w:t>
      </w:r>
      <w:r w:rsidR="00AF3CB0" w:rsidRPr="00021141">
        <w:rPr>
          <w:rFonts w:ascii="Verdana" w:hAnsi="Verdana"/>
          <w:sz w:val="20"/>
        </w:rPr>
        <w:t>dossier</w:t>
      </w:r>
      <w:r w:rsidR="00021141" w:rsidRPr="00021141">
        <w:rPr>
          <w:rFonts w:ascii="Verdana" w:hAnsi="Verdana"/>
          <w:sz w:val="20"/>
        </w:rPr>
        <w:t xml:space="preserve"> for </w:t>
      </w:r>
      <w:r w:rsidR="000578F2">
        <w:rPr>
          <w:rFonts w:ascii="Verdana" w:hAnsi="Verdana"/>
          <w:sz w:val="20"/>
        </w:rPr>
        <w:t>MCCPs</w:t>
      </w:r>
      <w:r w:rsidR="00607BBD">
        <w:rPr>
          <w:rFonts w:ascii="Verdana" w:hAnsi="Verdana"/>
          <w:sz w:val="20"/>
        </w:rPr>
        <w:t>,</w:t>
      </w:r>
      <w:r w:rsidR="00864A1A">
        <w:rPr>
          <w:rFonts w:ascii="Verdana" w:hAnsi="Verdana"/>
          <w:sz w:val="20"/>
        </w:rPr>
        <w:t xml:space="preserve"> based on a national prioritisation of chemicals,</w:t>
      </w:r>
      <w:r w:rsidR="00021141">
        <w:rPr>
          <w:rFonts w:ascii="Verdana" w:hAnsi="Verdana"/>
          <w:sz w:val="20"/>
        </w:rPr>
        <w:t xml:space="preserve"> recommending listing of </w:t>
      </w:r>
      <w:r w:rsidR="000578F2">
        <w:rPr>
          <w:rFonts w:ascii="Verdana" w:hAnsi="Verdana"/>
          <w:sz w:val="20"/>
        </w:rPr>
        <w:t>MCCPs</w:t>
      </w:r>
      <w:r w:rsidR="00607BBD">
        <w:rPr>
          <w:rFonts w:ascii="Verdana" w:hAnsi="Verdana"/>
          <w:sz w:val="20"/>
        </w:rPr>
        <w:t xml:space="preserve"> </w:t>
      </w:r>
      <w:r w:rsidR="00021141">
        <w:rPr>
          <w:rFonts w:ascii="Verdana" w:hAnsi="Verdana"/>
          <w:sz w:val="20"/>
        </w:rPr>
        <w:t>in Annex II of the Directive</w:t>
      </w:r>
      <w:r w:rsidR="00F77520">
        <w:rPr>
          <w:rFonts w:ascii="Verdana" w:hAnsi="Verdana"/>
          <w:sz w:val="20"/>
        </w:rPr>
        <w:t xml:space="preserve"> </w:t>
      </w:r>
      <w:r w:rsidR="00F77520" w:rsidRPr="009C4562">
        <w:rPr>
          <w:rFonts w:ascii="Verdana" w:hAnsi="Verdana"/>
          <w:sz w:val="20"/>
        </w:rPr>
        <w:t>(KEMI, 2018)</w:t>
      </w:r>
      <w:r w:rsidR="00021141">
        <w:rPr>
          <w:rFonts w:ascii="Verdana" w:hAnsi="Verdana"/>
          <w:sz w:val="20"/>
        </w:rPr>
        <w:t>.</w:t>
      </w:r>
      <w:r w:rsidR="00021141" w:rsidRPr="00021141">
        <w:t xml:space="preserve"> </w:t>
      </w:r>
      <w:r w:rsidR="00021141" w:rsidRPr="00021141">
        <w:rPr>
          <w:rFonts w:ascii="Verdana" w:hAnsi="Verdana"/>
          <w:sz w:val="20"/>
        </w:rPr>
        <w:t>The Commission is currently considering th</w:t>
      </w:r>
      <w:r w:rsidR="00021141">
        <w:rPr>
          <w:rFonts w:ascii="Verdana" w:hAnsi="Verdana"/>
          <w:sz w:val="20"/>
        </w:rPr>
        <w:t>e proposal</w:t>
      </w:r>
      <w:r w:rsidR="00021141" w:rsidRPr="00021141">
        <w:rPr>
          <w:rFonts w:ascii="Verdana" w:hAnsi="Verdana"/>
          <w:sz w:val="20"/>
        </w:rPr>
        <w:t>.</w:t>
      </w:r>
    </w:p>
    <w:p w14:paraId="4A3518F2" w14:textId="77777777" w:rsidR="000E324D" w:rsidRPr="001B0749" w:rsidRDefault="000E324D" w:rsidP="000E324D">
      <w:pPr>
        <w:pStyle w:val="BodyText"/>
        <w:spacing w:after="0"/>
        <w:rPr>
          <w:rFonts w:ascii="Verdana" w:hAnsi="Verdana"/>
          <w:sz w:val="20"/>
        </w:rPr>
      </w:pPr>
    </w:p>
    <w:p w14:paraId="720AD90C" w14:textId="77777777" w:rsidR="000E324D" w:rsidRPr="001B0749" w:rsidRDefault="000E324D" w:rsidP="000E324D">
      <w:pPr>
        <w:pStyle w:val="BodyText"/>
        <w:spacing w:after="0"/>
        <w:rPr>
          <w:rFonts w:ascii="Verdana" w:hAnsi="Verdana"/>
          <w:sz w:val="20"/>
        </w:rPr>
      </w:pPr>
      <w:r w:rsidRPr="001B0749">
        <w:rPr>
          <w:rFonts w:ascii="Verdana" w:hAnsi="Verdana"/>
          <w:sz w:val="20"/>
        </w:rPr>
        <w:t>The Directive applies to the following types of EEE:</w:t>
      </w:r>
    </w:p>
    <w:p w14:paraId="25359919" w14:textId="77777777" w:rsidR="000E324D" w:rsidRPr="001B0749" w:rsidRDefault="000E324D" w:rsidP="000E324D">
      <w:pPr>
        <w:pStyle w:val="BodyText"/>
        <w:spacing w:after="0"/>
        <w:rPr>
          <w:rFonts w:ascii="Verdana" w:hAnsi="Verdana"/>
          <w:sz w:val="20"/>
        </w:rPr>
      </w:pPr>
    </w:p>
    <w:p w14:paraId="143F11C0"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Large household appliances</w:t>
      </w:r>
    </w:p>
    <w:p w14:paraId="5298B908"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Small household appliances</w:t>
      </w:r>
    </w:p>
    <w:p w14:paraId="47FF5048"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IT and telecommunications equipment</w:t>
      </w:r>
    </w:p>
    <w:p w14:paraId="28B7B4F9"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Consumer equipment</w:t>
      </w:r>
    </w:p>
    <w:p w14:paraId="2AA66DA1"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Lighting equipment</w:t>
      </w:r>
    </w:p>
    <w:p w14:paraId="4DC883AB"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Electrical and electronic tools</w:t>
      </w:r>
    </w:p>
    <w:p w14:paraId="20700A38"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Toys, leisure and sports equipment</w:t>
      </w:r>
    </w:p>
    <w:p w14:paraId="0544CAAF"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Medical devices</w:t>
      </w:r>
    </w:p>
    <w:p w14:paraId="3B2041DD"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Monitoring and control instruments including industrial monitoring and control instruments</w:t>
      </w:r>
    </w:p>
    <w:p w14:paraId="5F8B8E27"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Automatic dispensers</w:t>
      </w:r>
    </w:p>
    <w:p w14:paraId="07D96A54" w14:textId="77777777" w:rsidR="000E324D" w:rsidRPr="001B0749" w:rsidRDefault="000E324D" w:rsidP="00943C49">
      <w:pPr>
        <w:pStyle w:val="BodyText"/>
        <w:numPr>
          <w:ilvl w:val="0"/>
          <w:numId w:val="9"/>
        </w:numPr>
        <w:spacing w:after="0"/>
        <w:rPr>
          <w:rFonts w:ascii="Verdana" w:hAnsi="Verdana"/>
          <w:sz w:val="20"/>
        </w:rPr>
      </w:pPr>
      <w:r w:rsidRPr="001B0749">
        <w:rPr>
          <w:rFonts w:ascii="Verdana" w:hAnsi="Verdana"/>
          <w:sz w:val="20"/>
        </w:rPr>
        <w:t>Other EEE not covered by any of the categories above</w:t>
      </w:r>
    </w:p>
    <w:p w14:paraId="3AD0CB2B" w14:textId="77777777" w:rsidR="000E324D" w:rsidRPr="001B0749" w:rsidRDefault="000E324D" w:rsidP="000E324D">
      <w:pPr>
        <w:pStyle w:val="BodyText"/>
        <w:spacing w:after="0"/>
        <w:rPr>
          <w:rFonts w:ascii="Verdana" w:hAnsi="Verdana"/>
          <w:sz w:val="20"/>
        </w:rPr>
      </w:pPr>
    </w:p>
    <w:p w14:paraId="770F025D" w14:textId="77777777" w:rsidR="000E324D" w:rsidRPr="001B0749" w:rsidRDefault="000E324D" w:rsidP="000E324D">
      <w:pPr>
        <w:pStyle w:val="BodyText"/>
        <w:spacing w:after="0"/>
        <w:rPr>
          <w:rFonts w:ascii="Verdana" w:hAnsi="Verdana"/>
          <w:sz w:val="20"/>
        </w:rPr>
      </w:pPr>
      <w:r w:rsidRPr="001B0749">
        <w:rPr>
          <w:rFonts w:ascii="Verdana" w:hAnsi="Verdana"/>
          <w:sz w:val="20"/>
        </w:rPr>
        <w:t xml:space="preserve">The Directive does not apply to: </w:t>
      </w:r>
    </w:p>
    <w:p w14:paraId="15DAB082" w14:textId="77777777" w:rsidR="000E324D" w:rsidRPr="001B0749" w:rsidRDefault="000E324D" w:rsidP="000E324D">
      <w:pPr>
        <w:pStyle w:val="BodyText"/>
        <w:spacing w:after="0"/>
        <w:rPr>
          <w:rFonts w:ascii="Verdana" w:hAnsi="Verdana"/>
          <w:sz w:val="20"/>
        </w:rPr>
      </w:pPr>
    </w:p>
    <w:p w14:paraId="01B2357C"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Equipment which is necessary for the protection of Member States including arms, munitions and war materials intended specifically for military purposes</w:t>
      </w:r>
    </w:p>
    <w:p w14:paraId="2CBA89C0"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lastRenderedPageBreak/>
        <w:t>Equipment designed to be sent into space</w:t>
      </w:r>
    </w:p>
    <w:p w14:paraId="0B434AF8"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Equipment which is specifically designed and is to be installed as part of equipment that is excluded or does not fall within the scope of RoHS Directive, which can fulfil its function only if it is part of that equipment, and which can only be replaced by the same specifically designed equipment.</w:t>
      </w:r>
    </w:p>
    <w:p w14:paraId="2F9FC9C3"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Large scale stationary industrial tools</w:t>
      </w:r>
    </w:p>
    <w:p w14:paraId="200C0420"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Large scale fixed installations</w:t>
      </w:r>
    </w:p>
    <w:p w14:paraId="080701A4"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Means of transport for persons or goods, excluding electric two wheeled vehicles which are not type approved</w:t>
      </w:r>
    </w:p>
    <w:p w14:paraId="0FD6A508"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Non-road mobile machinery made available exclusively for professional use</w:t>
      </w:r>
    </w:p>
    <w:p w14:paraId="3885DD14"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Active implantable medical devices</w:t>
      </w:r>
    </w:p>
    <w:p w14:paraId="027F1273"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Photovoltaic panels intended to be used in a system that is designed assembled and installed by professionals for permanent use at a defined location to produce energy from solar light for public, commercial, industrial or residential applications.</w:t>
      </w:r>
    </w:p>
    <w:p w14:paraId="5FF37282" w14:textId="77777777" w:rsidR="000E324D" w:rsidRPr="001B0749" w:rsidRDefault="000E324D" w:rsidP="00943C49">
      <w:pPr>
        <w:pStyle w:val="BodyText"/>
        <w:numPr>
          <w:ilvl w:val="0"/>
          <w:numId w:val="10"/>
        </w:numPr>
        <w:spacing w:after="0"/>
        <w:rPr>
          <w:rFonts w:ascii="Verdana" w:hAnsi="Verdana"/>
          <w:sz w:val="20"/>
        </w:rPr>
      </w:pPr>
      <w:r w:rsidRPr="001B0749">
        <w:rPr>
          <w:rFonts w:ascii="Verdana" w:hAnsi="Verdana"/>
          <w:sz w:val="20"/>
        </w:rPr>
        <w:t xml:space="preserve">Equipment specifically designed solely for the purposes of research and development only made available on a business to business basis. </w:t>
      </w:r>
    </w:p>
    <w:p w14:paraId="197CCFEE" w14:textId="77777777" w:rsidR="000E324D" w:rsidRPr="001B0749" w:rsidRDefault="000E324D" w:rsidP="000E324D">
      <w:pPr>
        <w:pStyle w:val="BodyText"/>
        <w:spacing w:after="0"/>
        <w:rPr>
          <w:rFonts w:ascii="Verdana" w:hAnsi="Verdana"/>
          <w:sz w:val="20"/>
        </w:rPr>
      </w:pPr>
    </w:p>
    <w:p w14:paraId="128CE1E7" w14:textId="39615D61" w:rsidR="00CD47B5" w:rsidRDefault="00EB6410" w:rsidP="000E324D">
      <w:pPr>
        <w:pStyle w:val="BodyText"/>
        <w:spacing w:after="0"/>
        <w:rPr>
          <w:rFonts w:ascii="Verdana" w:hAnsi="Verdana"/>
          <w:sz w:val="20"/>
        </w:rPr>
      </w:pPr>
      <w:r>
        <w:rPr>
          <w:rFonts w:ascii="Verdana" w:hAnsi="Verdana"/>
          <w:sz w:val="20"/>
        </w:rPr>
        <w:t xml:space="preserve">The KEMI report estimated that approximately 2,100 tonnes of </w:t>
      </w:r>
      <w:r w:rsidR="000578F2">
        <w:rPr>
          <w:rFonts w:ascii="Verdana" w:hAnsi="Verdana"/>
          <w:sz w:val="20"/>
        </w:rPr>
        <w:t>MCCPs</w:t>
      </w:r>
      <w:r>
        <w:rPr>
          <w:rFonts w:ascii="Verdana" w:hAnsi="Verdana"/>
          <w:sz w:val="20"/>
        </w:rPr>
        <w:t xml:space="preserve"> were imported by EU states in 2014, in 15,000 tonnes of PVC coated cables. </w:t>
      </w:r>
    </w:p>
    <w:p w14:paraId="4F2F7E30" w14:textId="77777777" w:rsidR="00EB6410" w:rsidRDefault="00EB6410" w:rsidP="000E324D">
      <w:pPr>
        <w:pStyle w:val="BodyText"/>
        <w:spacing w:after="0"/>
        <w:rPr>
          <w:rFonts w:ascii="Verdana" w:hAnsi="Verdana"/>
          <w:sz w:val="20"/>
        </w:rPr>
      </w:pPr>
    </w:p>
    <w:p w14:paraId="487BCE21" w14:textId="4DA61DE1" w:rsidR="00E47523" w:rsidRDefault="00EB6410" w:rsidP="000E324D">
      <w:pPr>
        <w:pStyle w:val="BodyText"/>
        <w:spacing w:after="0"/>
        <w:rPr>
          <w:rFonts w:ascii="Verdana" w:hAnsi="Verdana"/>
          <w:sz w:val="20"/>
        </w:rPr>
      </w:pPr>
      <w:r>
        <w:rPr>
          <w:rFonts w:ascii="Verdana" w:hAnsi="Verdana"/>
          <w:sz w:val="20"/>
        </w:rPr>
        <w:t xml:space="preserve">The UK CA </w:t>
      </w:r>
      <w:r w:rsidR="00E47523">
        <w:rPr>
          <w:rFonts w:ascii="Verdana" w:hAnsi="Verdana"/>
          <w:sz w:val="20"/>
        </w:rPr>
        <w:t>conclude</w:t>
      </w:r>
      <w:r>
        <w:rPr>
          <w:rFonts w:ascii="Verdana" w:hAnsi="Verdana"/>
          <w:sz w:val="20"/>
        </w:rPr>
        <w:t>s</w:t>
      </w:r>
      <w:r w:rsidR="00E47523">
        <w:rPr>
          <w:rFonts w:ascii="Verdana" w:hAnsi="Verdana"/>
          <w:sz w:val="20"/>
        </w:rPr>
        <w:t xml:space="preserve"> that the RoHS Directive provides a potentially effective regulatory option for a very restricted domain of applicability. This option is already being considered by the Commission.</w:t>
      </w:r>
      <w:r w:rsidR="00636C12">
        <w:rPr>
          <w:rFonts w:ascii="Verdana" w:hAnsi="Verdana"/>
          <w:sz w:val="20"/>
        </w:rPr>
        <w:t xml:space="preserve"> It could be a parallel measure to a REACH restriction, but companies can still request exemptions. The UK CA considers that it </w:t>
      </w:r>
      <w:r w:rsidR="00015BA5">
        <w:rPr>
          <w:rFonts w:ascii="Verdana" w:hAnsi="Verdana"/>
          <w:sz w:val="20"/>
        </w:rPr>
        <w:t>may</w:t>
      </w:r>
      <w:r w:rsidR="00636C12">
        <w:rPr>
          <w:rFonts w:ascii="Verdana" w:hAnsi="Verdana"/>
          <w:sz w:val="20"/>
        </w:rPr>
        <w:t xml:space="preserve"> be more efficient to tackle this source </w:t>
      </w:r>
      <w:r w:rsidR="00864A1A">
        <w:rPr>
          <w:rFonts w:ascii="Verdana" w:hAnsi="Verdana"/>
          <w:sz w:val="20"/>
        </w:rPr>
        <w:t xml:space="preserve">as part of a </w:t>
      </w:r>
      <w:r w:rsidR="00636C12">
        <w:rPr>
          <w:rFonts w:ascii="Verdana" w:hAnsi="Verdana"/>
          <w:sz w:val="20"/>
        </w:rPr>
        <w:t>REACH restriction</w:t>
      </w:r>
      <w:r>
        <w:rPr>
          <w:rFonts w:ascii="Verdana" w:hAnsi="Verdana"/>
          <w:sz w:val="20"/>
        </w:rPr>
        <w:t>, though the two regulatory instruments are not mutually exclusive</w:t>
      </w:r>
      <w:r w:rsidR="00636C12">
        <w:rPr>
          <w:rFonts w:ascii="Verdana" w:hAnsi="Verdana"/>
          <w:sz w:val="20"/>
        </w:rPr>
        <w:t>.</w:t>
      </w:r>
    </w:p>
    <w:p w14:paraId="43DAA7EB" w14:textId="77777777" w:rsidR="000E324D" w:rsidRPr="001B0749" w:rsidRDefault="000E324D" w:rsidP="000E324D">
      <w:pPr>
        <w:pStyle w:val="BodyText"/>
        <w:spacing w:after="0"/>
        <w:rPr>
          <w:rFonts w:ascii="Verdana" w:hAnsi="Verdana"/>
          <w:sz w:val="20"/>
        </w:rPr>
      </w:pPr>
    </w:p>
    <w:p w14:paraId="557A67F9" w14:textId="5AD513EA" w:rsidR="000E324D" w:rsidRPr="001B0749" w:rsidRDefault="000E324D" w:rsidP="000E324D">
      <w:pPr>
        <w:pStyle w:val="BodyText"/>
        <w:spacing w:after="0"/>
        <w:rPr>
          <w:rFonts w:ascii="Verdana" w:hAnsi="Verdana"/>
          <w:b/>
          <w:sz w:val="20"/>
        </w:rPr>
      </w:pPr>
      <w:r w:rsidRPr="001B0749">
        <w:rPr>
          <w:rFonts w:ascii="Verdana" w:hAnsi="Verdana"/>
          <w:b/>
          <w:sz w:val="20"/>
        </w:rPr>
        <w:t>The Persistent Organic Pollutants Regulation (</w:t>
      </w:r>
      <w:r w:rsidR="00C1273B">
        <w:rPr>
          <w:rFonts w:ascii="Verdana" w:hAnsi="Verdana"/>
          <w:b/>
          <w:sz w:val="20"/>
        </w:rPr>
        <w:t>(EU) 2019</w:t>
      </w:r>
      <w:r w:rsidRPr="001B0749">
        <w:rPr>
          <w:rFonts w:ascii="Verdana" w:hAnsi="Verdana"/>
          <w:b/>
          <w:sz w:val="20"/>
        </w:rPr>
        <w:t>/</w:t>
      </w:r>
      <w:r w:rsidR="00C1273B">
        <w:rPr>
          <w:rFonts w:ascii="Verdana" w:hAnsi="Verdana"/>
          <w:b/>
          <w:sz w:val="20"/>
        </w:rPr>
        <w:t>1021</w:t>
      </w:r>
      <w:r w:rsidRPr="001B0749">
        <w:rPr>
          <w:rFonts w:ascii="Verdana" w:hAnsi="Verdana"/>
          <w:b/>
          <w:sz w:val="20"/>
        </w:rPr>
        <w:t>)</w:t>
      </w:r>
    </w:p>
    <w:p w14:paraId="53F39FEF" w14:textId="77777777" w:rsidR="000E324D" w:rsidRPr="001B0749" w:rsidRDefault="000E324D" w:rsidP="000E324D">
      <w:pPr>
        <w:pStyle w:val="BodyText"/>
        <w:spacing w:after="0"/>
      </w:pPr>
    </w:p>
    <w:p w14:paraId="444B83EB" w14:textId="24B808D7" w:rsidR="000E324D" w:rsidRPr="001B0749" w:rsidRDefault="000E324D" w:rsidP="000E324D">
      <w:pPr>
        <w:jc w:val="both"/>
        <w:rPr>
          <w:rFonts w:ascii="Verdana" w:hAnsi="Verdana"/>
          <w:sz w:val="20"/>
          <w:szCs w:val="20"/>
          <w:lang w:val="en-GB"/>
        </w:rPr>
      </w:pPr>
      <w:r w:rsidRPr="001B0749">
        <w:rPr>
          <w:rFonts w:ascii="Verdana" w:hAnsi="Verdana"/>
          <w:sz w:val="20"/>
          <w:szCs w:val="20"/>
          <w:lang w:val="en-GB"/>
        </w:rPr>
        <w:t xml:space="preserve">The Persistent Organic Pollutants Regulation  restricts the production, placing on the market and use of substances classed as </w:t>
      </w:r>
      <w:r w:rsidR="004F27C1">
        <w:rPr>
          <w:rFonts w:ascii="Verdana" w:hAnsi="Verdana"/>
          <w:sz w:val="20"/>
          <w:szCs w:val="20"/>
          <w:lang w:val="en-GB"/>
        </w:rPr>
        <w:t>P</w:t>
      </w:r>
      <w:r w:rsidRPr="001B0749">
        <w:rPr>
          <w:rFonts w:ascii="Verdana" w:hAnsi="Verdana"/>
          <w:sz w:val="20"/>
          <w:szCs w:val="20"/>
          <w:lang w:val="en-GB"/>
        </w:rPr>
        <w:t xml:space="preserve">ersistent </w:t>
      </w:r>
      <w:r w:rsidR="004F27C1">
        <w:rPr>
          <w:rFonts w:ascii="Verdana" w:hAnsi="Verdana"/>
          <w:sz w:val="20"/>
          <w:szCs w:val="20"/>
          <w:lang w:val="en-GB"/>
        </w:rPr>
        <w:t>O</w:t>
      </w:r>
      <w:r w:rsidRPr="001B0749">
        <w:rPr>
          <w:rFonts w:ascii="Verdana" w:hAnsi="Verdana"/>
          <w:sz w:val="20"/>
          <w:szCs w:val="20"/>
          <w:lang w:val="en-GB"/>
        </w:rPr>
        <w:t xml:space="preserve">rganic </w:t>
      </w:r>
      <w:r w:rsidR="004F27C1">
        <w:rPr>
          <w:rFonts w:ascii="Verdana" w:hAnsi="Verdana"/>
          <w:sz w:val="20"/>
          <w:szCs w:val="20"/>
          <w:lang w:val="en-GB"/>
        </w:rPr>
        <w:t>P</w:t>
      </w:r>
      <w:r w:rsidRPr="001B0749">
        <w:rPr>
          <w:rFonts w:ascii="Verdana" w:hAnsi="Verdana"/>
          <w:sz w:val="20"/>
          <w:szCs w:val="20"/>
          <w:lang w:val="en-GB"/>
        </w:rPr>
        <w:t>ollutant</w:t>
      </w:r>
      <w:r w:rsidR="004F27C1">
        <w:rPr>
          <w:rFonts w:ascii="Verdana" w:hAnsi="Verdana"/>
          <w:sz w:val="20"/>
          <w:szCs w:val="20"/>
          <w:lang w:val="en-GB"/>
        </w:rPr>
        <w:t>s</w:t>
      </w:r>
      <w:r w:rsidRPr="001B0749">
        <w:rPr>
          <w:rFonts w:ascii="Verdana" w:hAnsi="Verdana"/>
          <w:sz w:val="20"/>
          <w:szCs w:val="20"/>
          <w:lang w:val="en-GB"/>
        </w:rPr>
        <w:t xml:space="preserve"> (POP</w:t>
      </w:r>
      <w:r w:rsidR="004F27C1">
        <w:rPr>
          <w:rFonts w:ascii="Verdana" w:hAnsi="Verdana"/>
          <w:sz w:val="20"/>
          <w:szCs w:val="20"/>
          <w:lang w:val="en-GB"/>
        </w:rPr>
        <w:t>s</w:t>
      </w:r>
      <w:r w:rsidRPr="001B0749">
        <w:rPr>
          <w:rFonts w:ascii="Verdana" w:hAnsi="Verdana"/>
          <w:sz w:val="20"/>
          <w:szCs w:val="20"/>
          <w:lang w:val="en-GB"/>
        </w:rPr>
        <w:t>)</w:t>
      </w:r>
      <w:r w:rsidR="00576E10">
        <w:rPr>
          <w:rFonts w:ascii="Verdana" w:hAnsi="Verdana"/>
          <w:sz w:val="20"/>
          <w:szCs w:val="20"/>
          <w:lang w:val="en-GB"/>
        </w:rPr>
        <w:t>.</w:t>
      </w:r>
      <w:r w:rsidRPr="001B0749">
        <w:rPr>
          <w:rFonts w:ascii="Verdana" w:hAnsi="Verdana"/>
          <w:sz w:val="20"/>
          <w:szCs w:val="20"/>
          <w:lang w:val="en-GB"/>
        </w:rPr>
        <w:t xml:space="preserve"> </w:t>
      </w:r>
      <w:r w:rsidR="00C963C7">
        <w:rPr>
          <w:rFonts w:ascii="Verdana" w:hAnsi="Verdana"/>
          <w:sz w:val="20"/>
          <w:szCs w:val="20"/>
          <w:lang w:val="en-GB"/>
        </w:rPr>
        <w:t>It implements the global Stockholm Convention on POPs.</w:t>
      </w:r>
      <w:r w:rsidR="00785CA1">
        <w:rPr>
          <w:rFonts w:ascii="Verdana" w:hAnsi="Verdana"/>
          <w:sz w:val="20"/>
          <w:szCs w:val="20"/>
          <w:lang w:val="en-GB"/>
        </w:rPr>
        <w:t xml:space="preserve"> Specific </w:t>
      </w:r>
      <w:r w:rsidR="004B679F">
        <w:rPr>
          <w:rFonts w:ascii="Verdana" w:hAnsi="Verdana"/>
          <w:sz w:val="20"/>
          <w:szCs w:val="20"/>
          <w:lang w:val="en-GB"/>
        </w:rPr>
        <w:t xml:space="preserve">time limited </w:t>
      </w:r>
      <w:r w:rsidR="00DB59E9">
        <w:rPr>
          <w:rFonts w:ascii="Verdana" w:hAnsi="Verdana"/>
          <w:sz w:val="20"/>
          <w:szCs w:val="20"/>
          <w:lang w:val="en-GB"/>
        </w:rPr>
        <w:t xml:space="preserve"> </w:t>
      </w:r>
      <w:r w:rsidR="00785CA1">
        <w:rPr>
          <w:rFonts w:ascii="Verdana" w:hAnsi="Verdana"/>
          <w:sz w:val="20"/>
          <w:szCs w:val="20"/>
          <w:lang w:val="en-GB"/>
        </w:rPr>
        <w:t>use exemptions are permitted.</w:t>
      </w:r>
    </w:p>
    <w:p w14:paraId="20109E06" w14:textId="0981935F" w:rsidR="000E324D" w:rsidRPr="001B0749" w:rsidRDefault="000E324D" w:rsidP="000E324D">
      <w:pPr>
        <w:jc w:val="both"/>
        <w:rPr>
          <w:rFonts w:ascii="Verdana" w:hAnsi="Verdana"/>
          <w:sz w:val="20"/>
          <w:szCs w:val="20"/>
          <w:lang w:val="en-GB"/>
        </w:rPr>
      </w:pPr>
      <w:r w:rsidRPr="001B0749">
        <w:rPr>
          <w:rFonts w:ascii="Verdana" w:hAnsi="Verdana"/>
          <w:sz w:val="20"/>
          <w:szCs w:val="20"/>
          <w:lang w:val="en-GB"/>
        </w:rPr>
        <w:t xml:space="preserve">To be considered </w:t>
      </w:r>
      <w:r w:rsidR="00C963C7">
        <w:rPr>
          <w:rFonts w:ascii="Verdana" w:hAnsi="Verdana"/>
          <w:sz w:val="20"/>
          <w:szCs w:val="20"/>
          <w:lang w:val="en-GB"/>
        </w:rPr>
        <w:t xml:space="preserve">for listing as </w:t>
      </w:r>
      <w:r w:rsidRPr="001B0749">
        <w:rPr>
          <w:rFonts w:ascii="Verdana" w:hAnsi="Verdana"/>
          <w:sz w:val="20"/>
          <w:szCs w:val="20"/>
          <w:lang w:val="en-GB"/>
        </w:rPr>
        <w:t xml:space="preserve">a POP, </w:t>
      </w:r>
      <w:r w:rsidR="00BA2742">
        <w:rPr>
          <w:rFonts w:ascii="Verdana" w:hAnsi="Verdana"/>
          <w:sz w:val="20"/>
          <w:szCs w:val="20"/>
          <w:lang w:val="en-GB"/>
        </w:rPr>
        <w:t>a substance must be p</w:t>
      </w:r>
      <w:r w:rsidRPr="001B0749">
        <w:rPr>
          <w:rFonts w:ascii="Verdana" w:hAnsi="Verdana"/>
          <w:sz w:val="20"/>
          <w:szCs w:val="20"/>
          <w:lang w:val="en-GB"/>
        </w:rPr>
        <w:t>ersistent</w:t>
      </w:r>
      <w:r w:rsidR="00BA2742">
        <w:rPr>
          <w:rFonts w:ascii="Verdana" w:hAnsi="Verdana"/>
          <w:sz w:val="20"/>
          <w:szCs w:val="20"/>
          <w:lang w:val="en-GB"/>
        </w:rPr>
        <w:t>,</w:t>
      </w:r>
      <w:r w:rsidRPr="001B0749">
        <w:rPr>
          <w:rFonts w:ascii="Verdana" w:hAnsi="Verdana"/>
          <w:sz w:val="20"/>
          <w:szCs w:val="20"/>
          <w:lang w:val="en-GB"/>
        </w:rPr>
        <w:t xml:space="preserve">  bioaccumulative</w:t>
      </w:r>
      <w:r w:rsidR="00BA2742">
        <w:rPr>
          <w:rFonts w:ascii="Verdana" w:hAnsi="Verdana"/>
          <w:sz w:val="20"/>
          <w:szCs w:val="20"/>
          <w:lang w:val="en-GB"/>
        </w:rPr>
        <w:t>,</w:t>
      </w:r>
      <w:r w:rsidRPr="001B0749">
        <w:rPr>
          <w:rFonts w:ascii="Verdana" w:hAnsi="Verdana"/>
          <w:sz w:val="20"/>
          <w:szCs w:val="20"/>
          <w:lang w:val="en-GB"/>
        </w:rPr>
        <w:t xml:space="preserve"> </w:t>
      </w:r>
      <w:r w:rsidR="00BA2742">
        <w:rPr>
          <w:rFonts w:ascii="Verdana" w:hAnsi="Verdana"/>
          <w:sz w:val="20"/>
          <w:szCs w:val="20"/>
          <w:lang w:val="en-GB"/>
        </w:rPr>
        <w:t xml:space="preserve">have </w:t>
      </w:r>
      <w:r w:rsidR="00BA2742" w:rsidRPr="00BA2742">
        <w:rPr>
          <w:rFonts w:ascii="Verdana" w:hAnsi="Verdana"/>
          <w:sz w:val="20"/>
          <w:szCs w:val="20"/>
          <w:lang w:val="en-GB"/>
        </w:rPr>
        <w:t>adverse effects on human health and the environment</w:t>
      </w:r>
      <w:r w:rsidR="00BA2742">
        <w:rPr>
          <w:rFonts w:ascii="Verdana" w:hAnsi="Verdana"/>
          <w:sz w:val="20"/>
          <w:szCs w:val="20"/>
          <w:lang w:val="en-GB"/>
        </w:rPr>
        <w:t xml:space="preserve">, and </w:t>
      </w:r>
      <w:r w:rsidR="00BA2742" w:rsidRPr="00BA2742">
        <w:rPr>
          <w:rFonts w:ascii="Verdana" w:hAnsi="Verdana"/>
          <w:sz w:val="20"/>
          <w:szCs w:val="20"/>
          <w:lang w:val="en-GB"/>
        </w:rPr>
        <w:t xml:space="preserve"> </w:t>
      </w:r>
      <w:r w:rsidRPr="001B0749">
        <w:rPr>
          <w:rFonts w:ascii="Verdana" w:hAnsi="Verdana"/>
          <w:sz w:val="20"/>
          <w:szCs w:val="20"/>
          <w:lang w:val="en-GB"/>
        </w:rPr>
        <w:t xml:space="preserve">must have the potential for long range transport. </w:t>
      </w:r>
    </w:p>
    <w:p w14:paraId="5376B92A" w14:textId="47BAF57C" w:rsidR="00BA2742" w:rsidRPr="001B0749" w:rsidRDefault="000E324D" w:rsidP="00BA2742">
      <w:pPr>
        <w:jc w:val="both"/>
        <w:rPr>
          <w:rFonts w:ascii="Verdana" w:hAnsi="Verdana"/>
          <w:sz w:val="20"/>
          <w:szCs w:val="20"/>
          <w:lang w:val="en-GB"/>
        </w:rPr>
      </w:pPr>
      <w:r w:rsidRPr="001B0749">
        <w:rPr>
          <w:rFonts w:ascii="Verdana" w:hAnsi="Verdana"/>
          <w:sz w:val="20"/>
          <w:szCs w:val="20"/>
          <w:lang w:val="en-GB"/>
        </w:rPr>
        <w:t>A</w:t>
      </w:r>
      <w:r w:rsidR="00F51697">
        <w:rPr>
          <w:rFonts w:ascii="Verdana" w:hAnsi="Verdana"/>
          <w:sz w:val="20"/>
          <w:szCs w:val="20"/>
          <w:lang w:val="en-GB"/>
        </w:rPr>
        <w:t xml:space="preserve">s </w:t>
      </w:r>
      <w:r w:rsidR="000578F2">
        <w:rPr>
          <w:rFonts w:ascii="Verdana" w:hAnsi="Verdana"/>
          <w:sz w:val="20"/>
          <w:szCs w:val="20"/>
          <w:lang w:val="en-GB"/>
        </w:rPr>
        <w:t>MCCPs</w:t>
      </w:r>
      <w:r w:rsidR="00607BBD">
        <w:rPr>
          <w:rFonts w:ascii="Verdana" w:hAnsi="Verdana"/>
          <w:sz w:val="20"/>
          <w:szCs w:val="20"/>
          <w:lang w:val="en-GB"/>
        </w:rPr>
        <w:t xml:space="preserve"> </w:t>
      </w:r>
      <w:r w:rsidR="006A2EFA">
        <w:rPr>
          <w:rFonts w:ascii="Verdana" w:hAnsi="Verdana"/>
          <w:sz w:val="20"/>
          <w:szCs w:val="20"/>
          <w:lang w:val="en-GB"/>
        </w:rPr>
        <w:t xml:space="preserve">meets the </w:t>
      </w:r>
      <w:r w:rsidR="00F51697">
        <w:rPr>
          <w:rFonts w:ascii="Verdana" w:hAnsi="Verdana"/>
          <w:sz w:val="20"/>
          <w:szCs w:val="20"/>
          <w:lang w:val="en-GB"/>
        </w:rPr>
        <w:t>PBT/</w:t>
      </w:r>
      <w:r w:rsidRPr="001B0749">
        <w:rPr>
          <w:rFonts w:ascii="Verdana" w:hAnsi="Verdana"/>
          <w:sz w:val="20"/>
          <w:szCs w:val="20"/>
          <w:lang w:val="en-GB"/>
        </w:rPr>
        <w:t xml:space="preserve">vPvB </w:t>
      </w:r>
      <w:r w:rsidR="006A2EFA">
        <w:rPr>
          <w:rFonts w:ascii="Verdana" w:hAnsi="Verdana"/>
          <w:sz w:val="20"/>
          <w:szCs w:val="20"/>
          <w:lang w:val="en-GB"/>
        </w:rPr>
        <w:t xml:space="preserve">criteria </w:t>
      </w:r>
      <w:r w:rsidRPr="001B0749">
        <w:rPr>
          <w:rFonts w:ascii="Verdana" w:hAnsi="Verdana"/>
          <w:sz w:val="20"/>
          <w:szCs w:val="20"/>
          <w:lang w:val="en-GB"/>
        </w:rPr>
        <w:t xml:space="preserve">in a </w:t>
      </w:r>
      <w:r>
        <w:rPr>
          <w:rFonts w:ascii="Verdana" w:hAnsi="Verdana"/>
          <w:sz w:val="20"/>
          <w:szCs w:val="20"/>
          <w:lang w:val="en-GB"/>
        </w:rPr>
        <w:t>European</w:t>
      </w:r>
      <w:r w:rsidRPr="001B0749">
        <w:rPr>
          <w:rFonts w:ascii="Verdana" w:hAnsi="Verdana"/>
          <w:sz w:val="20"/>
          <w:szCs w:val="20"/>
          <w:lang w:val="en-GB"/>
        </w:rPr>
        <w:t xml:space="preserve"> context,</w:t>
      </w:r>
      <w:r w:rsidR="00F51697">
        <w:rPr>
          <w:rFonts w:ascii="Verdana" w:hAnsi="Verdana"/>
          <w:sz w:val="20"/>
          <w:szCs w:val="20"/>
          <w:lang w:val="en-GB"/>
        </w:rPr>
        <w:t xml:space="preserve"> </w:t>
      </w:r>
      <w:r w:rsidR="00636C12">
        <w:rPr>
          <w:rFonts w:ascii="Verdana" w:hAnsi="Verdana"/>
          <w:sz w:val="20"/>
          <w:szCs w:val="20"/>
          <w:lang w:val="en-GB"/>
        </w:rPr>
        <w:t xml:space="preserve">the UK CA </w:t>
      </w:r>
      <w:r w:rsidR="00F51697">
        <w:rPr>
          <w:rFonts w:ascii="Verdana" w:hAnsi="Verdana"/>
          <w:sz w:val="20"/>
          <w:szCs w:val="20"/>
          <w:lang w:val="en-GB"/>
        </w:rPr>
        <w:t xml:space="preserve">consider that </w:t>
      </w:r>
      <w:r>
        <w:rPr>
          <w:rFonts w:ascii="Verdana" w:hAnsi="Verdana"/>
          <w:sz w:val="20"/>
          <w:szCs w:val="20"/>
          <w:lang w:val="en-GB"/>
        </w:rPr>
        <w:t>it</w:t>
      </w:r>
      <w:r w:rsidRPr="001B0749">
        <w:rPr>
          <w:rFonts w:ascii="Verdana" w:hAnsi="Verdana"/>
          <w:sz w:val="20"/>
          <w:szCs w:val="20"/>
          <w:lang w:val="en-GB"/>
        </w:rPr>
        <w:t xml:space="preserve"> fulfils the criteria for </w:t>
      </w:r>
      <w:r w:rsidR="00400689">
        <w:rPr>
          <w:rFonts w:ascii="Verdana" w:hAnsi="Verdana"/>
          <w:sz w:val="20"/>
          <w:szCs w:val="20"/>
          <w:lang w:val="en-GB"/>
        </w:rPr>
        <w:t xml:space="preserve">persistence, bioaccumulation, and </w:t>
      </w:r>
      <w:r w:rsidRPr="001B0749">
        <w:rPr>
          <w:rFonts w:ascii="Verdana" w:hAnsi="Verdana"/>
          <w:sz w:val="20"/>
          <w:szCs w:val="20"/>
          <w:lang w:val="en-GB"/>
        </w:rPr>
        <w:t xml:space="preserve">adverse effects. </w:t>
      </w:r>
      <w:r w:rsidR="00BA2742">
        <w:rPr>
          <w:rFonts w:ascii="Verdana" w:hAnsi="Verdana"/>
          <w:sz w:val="20"/>
          <w:szCs w:val="20"/>
          <w:lang w:val="en-GB"/>
        </w:rPr>
        <w:t xml:space="preserve">Although of low volatility, </w:t>
      </w:r>
      <w:r w:rsidR="000578F2">
        <w:rPr>
          <w:rFonts w:ascii="Verdana" w:hAnsi="Verdana"/>
          <w:sz w:val="20"/>
          <w:szCs w:val="20"/>
          <w:lang w:val="en-GB"/>
        </w:rPr>
        <w:t>MCCPs</w:t>
      </w:r>
      <w:r w:rsidR="00607BBD">
        <w:rPr>
          <w:rFonts w:ascii="Verdana" w:hAnsi="Verdana"/>
          <w:sz w:val="20"/>
          <w:szCs w:val="20"/>
          <w:lang w:val="en-GB"/>
        </w:rPr>
        <w:t xml:space="preserve"> </w:t>
      </w:r>
      <w:r w:rsidR="00BA2742" w:rsidRPr="001B0749">
        <w:rPr>
          <w:rFonts w:ascii="Verdana" w:hAnsi="Verdana"/>
          <w:sz w:val="20"/>
          <w:szCs w:val="20"/>
          <w:lang w:val="en-GB"/>
        </w:rPr>
        <w:t>is expected to adsorb strongly to particulates</w:t>
      </w:r>
      <w:r w:rsidR="00BA2742">
        <w:rPr>
          <w:rFonts w:ascii="Verdana" w:hAnsi="Verdana"/>
          <w:sz w:val="20"/>
          <w:szCs w:val="20"/>
          <w:lang w:val="en-GB"/>
        </w:rPr>
        <w:t xml:space="preserve">. </w:t>
      </w:r>
      <w:r w:rsidR="00021141">
        <w:rPr>
          <w:rFonts w:ascii="Verdana" w:hAnsi="Verdana"/>
          <w:sz w:val="20"/>
          <w:szCs w:val="20"/>
          <w:lang w:val="en-GB"/>
        </w:rPr>
        <w:t>The a</w:t>
      </w:r>
      <w:r w:rsidR="00BA2742" w:rsidRPr="001B0749">
        <w:rPr>
          <w:rFonts w:ascii="Verdana" w:hAnsi="Verdana"/>
          <w:sz w:val="20"/>
          <w:szCs w:val="20"/>
          <w:lang w:val="en-GB"/>
        </w:rPr>
        <w:t xml:space="preserve">tmospheric transport </w:t>
      </w:r>
      <w:r w:rsidR="00BA2742">
        <w:rPr>
          <w:rFonts w:ascii="Verdana" w:hAnsi="Verdana"/>
          <w:sz w:val="20"/>
          <w:szCs w:val="20"/>
          <w:lang w:val="en-GB"/>
        </w:rPr>
        <w:t>of airborne particulates provides a potential route for long range transport.</w:t>
      </w:r>
    </w:p>
    <w:p w14:paraId="362022BE" w14:textId="3DA6C5A0" w:rsidR="00400689" w:rsidRDefault="00400689" w:rsidP="000E324D">
      <w:pPr>
        <w:jc w:val="both"/>
        <w:rPr>
          <w:rFonts w:ascii="Verdana" w:hAnsi="Verdana"/>
          <w:sz w:val="20"/>
          <w:szCs w:val="20"/>
          <w:lang w:val="en-GB"/>
        </w:rPr>
      </w:pPr>
      <w:r w:rsidRPr="00400689">
        <w:rPr>
          <w:rFonts w:ascii="Verdana" w:hAnsi="Verdana"/>
          <w:sz w:val="20"/>
          <w:szCs w:val="20"/>
          <w:lang w:val="en-GB"/>
        </w:rPr>
        <w:t xml:space="preserve">The long-range atmospheric transport potential </w:t>
      </w:r>
      <w:r w:rsidR="00576E10">
        <w:rPr>
          <w:rFonts w:ascii="Verdana" w:hAnsi="Verdana"/>
          <w:sz w:val="20"/>
          <w:szCs w:val="20"/>
          <w:lang w:val="en-GB"/>
        </w:rPr>
        <w:t>of</w:t>
      </w:r>
      <w:r w:rsidRPr="00400689">
        <w:rPr>
          <w:rFonts w:ascii="Verdana" w:hAnsi="Verdana"/>
          <w:sz w:val="20"/>
          <w:szCs w:val="20"/>
          <w:lang w:val="en-GB"/>
        </w:rPr>
        <w:t xml:space="preserve"> </w:t>
      </w:r>
      <w:r w:rsidR="000578F2">
        <w:rPr>
          <w:rFonts w:ascii="Verdana" w:hAnsi="Verdana"/>
          <w:sz w:val="20"/>
          <w:szCs w:val="20"/>
          <w:lang w:val="en-GB"/>
        </w:rPr>
        <w:t>MCCPs</w:t>
      </w:r>
      <w:r w:rsidR="00607BBD">
        <w:rPr>
          <w:rFonts w:ascii="Verdana" w:hAnsi="Verdana"/>
          <w:sz w:val="20"/>
          <w:szCs w:val="20"/>
          <w:lang w:val="en-GB"/>
        </w:rPr>
        <w:t xml:space="preserve"> </w:t>
      </w:r>
      <w:r w:rsidR="00576E10">
        <w:rPr>
          <w:rFonts w:ascii="Verdana" w:hAnsi="Verdana"/>
          <w:sz w:val="20"/>
          <w:szCs w:val="20"/>
          <w:lang w:val="en-GB"/>
        </w:rPr>
        <w:t xml:space="preserve">has been </w:t>
      </w:r>
      <w:r w:rsidRPr="00400689">
        <w:rPr>
          <w:rFonts w:ascii="Verdana" w:hAnsi="Verdana"/>
          <w:sz w:val="20"/>
          <w:szCs w:val="20"/>
          <w:lang w:val="en-GB"/>
        </w:rPr>
        <w:t>considered by Environment Canada (2008). Th</w:t>
      </w:r>
      <w:r w:rsidR="00576E10">
        <w:rPr>
          <w:rFonts w:ascii="Verdana" w:hAnsi="Verdana"/>
          <w:sz w:val="20"/>
          <w:szCs w:val="20"/>
          <w:lang w:val="en-GB"/>
        </w:rPr>
        <w:t>ey</w:t>
      </w:r>
      <w:r w:rsidRPr="00400689">
        <w:rPr>
          <w:rFonts w:ascii="Verdana" w:hAnsi="Verdana"/>
          <w:sz w:val="20"/>
          <w:szCs w:val="20"/>
          <w:lang w:val="en-GB"/>
        </w:rPr>
        <w:t xml:space="preserve"> concluded that the atmospheric half-lives for vapour phase </w:t>
      </w:r>
      <w:r w:rsidR="000578F2">
        <w:rPr>
          <w:rFonts w:ascii="Verdana" w:hAnsi="Verdana"/>
          <w:sz w:val="20"/>
          <w:szCs w:val="20"/>
          <w:lang w:val="en-GB"/>
        </w:rPr>
        <w:t>MCCPs</w:t>
      </w:r>
      <w:r w:rsidR="00607BBD">
        <w:rPr>
          <w:rFonts w:ascii="Verdana" w:hAnsi="Verdana"/>
          <w:sz w:val="20"/>
          <w:szCs w:val="20"/>
          <w:lang w:val="en-GB"/>
        </w:rPr>
        <w:t xml:space="preserve"> </w:t>
      </w:r>
      <w:r w:rsidRPr="00400689">
        <w:rPr>
          <w:rFonts w:ascii="Verdana" w:hAnsi="Verdana"/>
          <w:sz w:val="20"/>
          <w:szCs w:val="20"/>
          <w:lang w:val="en-GB"/>
        </w:rPr>
        <w:t xml:space="preserve">ranged from 2.7 to 7.1 days, with </w:t>
      </w:r>
      <w:r w:rsidR="00576E10">
        <w:rPr>
          <w:rFonts w:ascii="Verdana" w:hAnsi="Verdana"/>
          <w:sz w:val="20"/>
          <w:szCs w:val="20"/>
          <w:lang w:val="en-GB"/>
        </w:rPr>
        <w:t xml:space="preserve">the longest half-lives for </w:t>
      </w:r>
      <w:r w:rsidR="000578F2">
        <w:rPr>
          <w:rFonts w:ascii="Verdana" w:hAnsi="Verdana"/>
          <w:sz w:val="20"/>
          <w:szCs w:val="20"/>
          <w:lang w:val="en-GB"/>
        </w:rPr>
        <w:t>MCCPs</w:t>
      </w:r>
      <w:r w:rsidR="00607BBD">
        <w:rPr>
          <w:rFonts w:ascii="Verdana" w:hAnsi="Verdana"/>
          <w:sz w:val="20"/>
          <w:szCs w:val="20"/>
          <w:lang w:val="en-GB"/>
        </w:rPr>
        <w:t xml:space="preserve"> </w:t>
      </w:r>
      <w:r w:rsidRPr="00400689">
        <w:rPr>
          <w:rFonts w:ascii="Verdana" w:hAnsi="Verdana"/>
          <w:sz w:val="20"/>
          <w:szCs w:val="20"/>
          <w:lang w:val="en-GB"/>
        </w:rPr>
        <w:t xml:space="preserve">with the highest chlorine contents and also with the shorter chain lengths (for comparison, EU (2005) estimated that the atmospheric half-life was of the order of 1 - 2 days for </w:t>
      </w:r>
      <w:r w:rsidR="000578F2">
        <w:rPr>
          <w:rFonts w:ascii="Verdana" w:hAnsi="Verdana"/>
          <w:sz w:val="20"/>
          <w:szCs w:val="20"/>
          <w:lang w:val="en-GB"/>
        </w:rPr>
        <w:t>MCCPs</w:t>
      </w:r>
      <w:r w:rsidRPr="00400689">
        <w:rPr>
          <w:rFonts w:ascii="Verdana" w:hAnsi="Verdana"/>
          <w:sz w:val="20"/>
          <w:szCs w:val="20"/>
          <w:lang w:val="en-GB"/>
        </w:rPr>
        <w:t xml:space="preserve"> with chlorine contents between 40</w:t>
      </w:r>
      <w:r w:rsidR="009A50EF">
        <w:rPr>
          <w:rFonts w:ascii="Verdana" w:hAnsi="Verdana"/>
          <w:sz w:val="20"/>
          <w:szCs w:val="20"/>
          <w:lang w:val="en-GB"/>
        </w:rPr>
        <w:t>%</w:t>
      </w:r>
      <w:r w:rsidRPr="00400689">
        <w:rPr>
          <w:rFonts w:ascii="Verdana" w:hAnsi="Verdana"/>
          <w:sz w:val="20"/>
          <w:szCs w:val="20"/>
          <w:lang w:val="en-GB"/>
        </w:rPr>
        <w:t xml:space="preserve"> and 56</w:t>
      </w:r>
      <w:r w:rsidR="009A50EF">
        <w:rPr>
          <w:rFonts w:ascii="Verdana" w:hAnsi="Verdana"/>
          <w:sz w:val="20"/>
          <w:szCs w:val="20"/>
          <w:lang w:val="en-GB"/>
        </w:rPr>
        <w:t>%</w:t>
      </w:r>
      <w:r w:rsidRPr="00400689">
        <w:rPr>
          <w:rFonts w:ascii="Verdana" w:hAnsi="Verdana"/>
          <w:sz w:val="20"/>
          <w:szCs w:val="20"/>
          <w:lang w:val="en-GB"/>
        </w:rPr>
        <w:t xml:space="preserve"> Cl </w:t>
      </w:r>
      <w:r w:rsidR="00D5088B">
        <w:rPr>
          <w:rFonts w:ascii="Verdana" w:hAnsi="Verdana"/>
          <w:sz w:val="20"/>
          <w:szCs w:val="20"/>
          <w:lang w:val="en-GB"/>
        </w:rPr>
        <w:t>w/w</w:t>
      </w:r>
      <w:r w:rsidR="00535122">
        <w:rPr>
          <w:rFonts w:ascii="Verdana" w:hAnsi="Verdana"/>
          <w:sz w:val="20"/>
          <w:szCs w:val="20"/>
          <w:lang w:val="en-GB"/>
        </w:rPr>
        <w:t>)</w:t>
      </w:r>
      <w:r w:rsidRPr="00400689">
        <w:rPr>
          <w:rFonts w:ascii="Verdana" w:hAnsi="Verdana"/>
          <w:sz w:val="20"/>
          <w:szCs w:val="20"/>
          <w:lang w:val="en-GB"/>
        </w:rPr>
        <w:t xml:space="preserve">. </w:t>
      </w:r>
      <w:r w:rsidR="00576E10">
        <w:rPr>
          <w:rFonts w:ascii="Verdana" w:hAnsi="Verdana"/>
          <w:sz w:val="20"/>
          <w:szCs w:val="20"/>
          <w:lang w:val="en-GB"/>
        </w:rPr>
        <w:t>They</w:t>
      </w:r>
      <w:r w:rsidRPr="00400689">
        <w:rPr>
          <w:rFonts w:ascii="Verdana" w:hAnsi="Verdana"/>
          <w:sz w:val="20"/>
          <w:szCs w:val="20"/>
          <w:lang w:val="en-GB"/>
        </w:rPr>
        <w:t xml:space="preserve"> concluded that </w:t>
      </w:r>
      <w:r w:rsidR="000578F2">
        <w:rPr>
          <w:rFonts w:ascii="Verdana" w:hAnsi="Verdana"/>
          <w:sz w:val="20"/>
          <w:szCs w:val="20"/>
          <w:lang w:val="en-GB"/>
        </w:rPr>
        <w:t>MCCPs</w:t>
      </w:r>
      <w:r w:rsidRPr="00400689">
        <w:rPr>
          <w:rFonts w:ascii="Verdana" w:hAnsi="Verdana"/>
          <w:sz w:val="20"/>
          <w:szCs w:val="20"/>
          <w:lang w:val="en-GB"/>
        </w:rPr>
        <w:t xml:space="preserve"> have estimated vapour pressures (~4.5×10</w:t>
      </w:r>
      <w:r w:rsidRPr="00D35A5A">
        <w:rPr>
          <w:rFonts w:ascii="Verdana" w:hAnsi="Verdana"/>
          <w:sz w:val="20"/>
          <w:szCs w:val="20"/>
          <w:vertAlign w:val="superscript"/>
          <w:lang w:val="en-GB"/>
        </w:rPr>
        <w:t>–8</w:t>
      </w:r>
      <w:r w:rsidRPr="00400689">
        <w:rPr>
          <w:rFonts w:ascii="Verdana" w:hAnsi="Verdana"/>
          <w:sz w:val="20"/>
          <w:szCs w:val="20"/>
          <w:lang w:val="en-GB"/>
        </w:rPr>
        <w:t xml:space="preserve"> to 2.27×10</w:t>
      </w:r>
      <w:r w:rsidRPr="00D35A5A">
        <w:rPr>
          <w:rFonts w:ascii="Verdana" w:hAnsi="Verdana"/>
          <w:sz w:val="20"/>
          <w:szCs w:val="20"/>
          <w:vertAlign w:val="superscript"/>
          <w:lang w:val="en-GB"/>
        </w:rPr>
        <w:t>–3</w:t>
      </w:r>
      <w:r w:rsidRPr="00400689">
        <w:rPr>
          <w:rFonts w:ascii="Verdana" w:hAnsi="Verdana"/>
          <w:sz w:val="20"/>
          <w:szCs w:val="20"/>
          <w:lang w:val="en-GB"/>
        </w:rPr>
        <w:t xml:space="preserve"> Pa at 20 </w:t>
      </w:r>
      <w:r w:rsidR="00535122">
        <w:rPr>
          <w:rFonts w:ascii="Verdana" w:hAnsi="Verdana"/>
          <w:sz w:val="20"/>
          <w:szCs w:val="20"/>
          <w:lang w:val="en-GB"/>
        </w:rPr>
        <w:t>–</w:t>
      </w:r>
      <w:r w:rsidRPr="00400689">
        <w:rPr>
          <w:rFonts w:ascii="Verdana" w:hAnsi="Verdana"/>
          <w:sz w:val="20"/>
          <w:szCs w:val="20"/>
          <w:lang w:val="en-GB"/>
        </w:rPr>
        <w:t xml:space="preserve"> 25</w:t>
      </w:r>
      <w:r w:rsidR="00535122">
        <w:rPr>
          <w:rFonts w:ascii="Verdana" w:hAnsi="Verdana"/>
          <w:sz w:val="20"/>
          <w:szCs w:val="20"/>
          <w:lang w:val="en-GB"/>
        </w:rPr>
        <w:t xml:space="preserve"> </w:t>
      </w:r>
      <w:r w:rsidRPr="00400689">
        <w:rPr>
          <w:rFonts w:ascii="Verdana" w:hAnsi="Verdana"/>
          <w:sz w:val="20"/>
          <w:szCs w:val="20"/>
          <w:lang w:val="en-GB"/>
        </w:rPr>
        <w:t>ºC) and Henry’s law constants (~0.014 to 51.3</w:t>
      </w:r>
      <w:r w:rsidR="00535122">
        <w:rPr>
          <w:rFonts w:ascii="Verdana" w:hAnsi="Verdana"/>
          <w:sz w:val="20"/>
          <w:szCs w:val="20"/>
          <w:lang w:val="en-GB"/>
        </w:rPr>
        <w:t> </w:t>
      </w:r>
      <w:r w:rsidRPr="00400689">
        <w:rPr>
          <w:rFonts w:ascii="Verdana" w:hAnsi="Verdana"/>
          <w:sz w:val="20"/>
          <w:szCs w:val="20"/>
          <w:lang w:val="en-GB"/>
        </w:rPr>
        <w:t>Pa</w:t>
      </w:r>
      <w:r w:rsidR="006A2EFA">
        <w:rPr>
          <w:rFonts w:ascii="Verdana" w:hAnsi="Verdana"/>
          <w:sz w:val="20"/>
          <w:szCs w:val="20"/>
          <w:lang w:val="en-GB"/>
        </w:rPr>
        <w:t>.</w:t>
      </w:r>
      <w:r w:rsidRPr="00400689">
        <w:rPr>
          <w:rFonts w:ascii="Verdana" w:hAnsi="Verdana"/>
          <w:sz w:val="20"/>
          <w:szCs w:val="20"/>
          <w:lang w:val="en-GB"/>
        </w:rPr>
        <w:t>m</w:t>
      </w:r>
      <w:r w:rsidRPr="00D35A5A">
        <w:rPr>
          <w:rFonts w:ascii="Verdana" w:hAnsi="Verdana"/>
          <w:sz w:val="20"/>
          <w:szCs w:val="20"/>
          <w:vertAlign w:val="superscript"/>
          <w:lang w:val="en-GB"/>
        </w:rPr>
        <w:t>3</w:t>
      </w:r>
      <w:r w:rsidRPr="00400689">
        <w:rPr>
          <w:rFonts w:ascii="Verdana" w:hAnsi="Verdana"/>
          <w:sz w:val="20"/>
          <w:szCs w:val="20"/>
          <w:lang w:val="en-GB"/>
        </w:rPr>
        <w:t>/</w:t>
      </w:r>
      <w:proofErr w:type="spellStart"/>
      <w:r w:rsidRPr="00400689">
        <w:rPr>
          <w:rFonts w:ascii="Verdana" w:hAnsi="Verdana"/>
          <w:sz w:val="20"/>
          <w:szCs w:val="20"/>
          <w:lang w:val="en-GB"/>
        </w:rPr>
        <w:t>mol</w:t>
      </w:r>
      <w:proofErr w:type="spellEnd"/>
      <w:r w:rsidRPr="00400689">
        <w:rPr>
          <w:rFonts w:ascii="Verdana" w:hAnsi="Verdana"/>
          <w:sz w:val="20"/>
          <w:szCs w:val="20"/>
          <w:lang w:val="en-GB"/>
        </w:rPr>
        <w:t>) that are in the range of values for some persistent organic pollutants that are known to undergo long-range atmospheric transport</w:t>
      </w:r>
      <w:r w:rsidR="00576E10">
        <w:rPr>
          <w:rFonts w:ascii="Verdana" w:hAnsi="Verdana"/>
          <w:sz w:val="20"/>
          <w:szCs w:val="20"/>
          <w:lang w:val="en-GB"/>
        </w:rPr>
        <w:t>,</w:t>
      </w:r>
      <w:r w:rsidRPr="00400689">
        <w:rPr>
          <w:rFonts w:ascii="Verdana" w:hAnsi="Verdana"/>
          <w:sz w:val="20"/>
          <w:szCs w:val="20"/>
          <w:lang w:val="en-GB"/>
        </w:rPr>
        <w:t xml:space="preserve"> such as </w:t>
      </w:r>
      <w:proofErr w:type="spellStart"/>
      <w:r w:rsidRPr="00400689">
        <w:rPr>
          <w:rFonts w:ascii="Verdana" w:hAnsi="Verdana"/>
          <w:sz w:val="20"/>
          <w:szCs w:val="20"/>
          <w:lang w:val="en-GB"/>
        </w:rPr>
        <w:t>lindane</w:t>
      </w:r>
      <w:proofErr w:type="spellEnd"/>
      <w:r w:rsidRPr="00400689">
        <w:rPr>
          <w:rFonts w:ascii="Verdana" w:hAnsi="Verdana"/>
          <w:sz w:val="20"/>
          <w:szCs w:val="20"/>
          <w:lang w:val="en-GB"/>
        </w:rPr>
        <w:t xml:space="preserve">, heptachlor and </w:t>
      </w:r>
      <w:proofErr w:type="spellStart"/>
      <w:r w:rsidRPr="00400689">
        <w:rPr>
          <w:rFonts w:ascii="Verdana" w:hAnsi="Verdana"/>
          <w:sz w:val="20"/>
          <w:szCs w:val="20"/>
          <w:lang w:val="en-GB"/>
        </w:rPr>
        <w:t>mirex</w:t>
      </w:r>
      <w:proofErr w:type="spellEnd"/>
      <w:r w:rsidRPr="00400689">
        <w:rPr>
          <w:rFonts w:ascii="Verdana" w:hAnsi="Verdana"/>
          <w:sz w:val="20"/>
          <w:szCs w:val="20"/>
          <w:lang w:val="en-GB"/>
        </w:rPr>
        <w:t xml:space="preserve"> (the corresponding values for these reference substances were not given). This suggests that long-range atmospheric transport could be a possibility for some </w:t>
      </w:r>
      <w:r w:rsidR="002F2E37">
        <w:rPr>
          <w:rFonts w:ascii="Verdana" w:hAnsi="Verdana"/>
          <w:sz w:val="20"/>
          <w:szCs w:val="20"/>
          <w:lang w:val="en-GB"/>
        </w:rPr>
        <w:lastRenderedPageBreak/>
        <w:t>constituents</w:t>
      </w:r>
      <w:r w:rsidRPr="00400689">
        <w:rPr>
          <w:rFonts w:ascii="Verdana" w:hAnsi="Verdana"/>
          <w:sz w:val="20"/>
          <w:szCs w:val="20"/>
          <w:lang w:val="en-GB"/>
        </w:rPr>
        <w:t xml:space="preserve"> of </w:t>
      </w:r>
      <w:r w:rsidR="000578F2">
        <w:rPr>
          <w:rFonts w:ascii="Verdana" w:hAnsi="Verdana"/>
          <w:sz w:val="20"/>
          <w:szCs w:val="20"/>
          <w:lang w:val="en-GB"/>
        </w:rPr>
        <w:t>MCCPs</w:t>
      </w:r>
      <w:r w:rsidRPr="00400689">
        <w:rPr>
          <w:rFonts w:ascii="Verdana" w:hAnsi="Verdana"/>
          <w:sz w:val="20"/>
          <w:szCs w:val="20"/>
          <w:lang w:val="en-GB"/>
        </w:rPr>
        <w:t>.</w:t>
      </w:r>
      <w:r w:rsidR="00DB59E9">
        <w:rPr>
          <w:rFonts w:ascii="Verdana" w:hAnsi="Verdana"/>
          <w:sz w:val="20"/>
          <w:szCs w:val="20"/>
          <w:lang w:val="en-GB"/>
        </w:rPr>
        <w:t xml:space="preserve"> It would be important to determine the LRT potential of the specific </w:t>
      </w:r>
      <w:r w:rsidR="002F2E37">
        <w:rPr>
          <w:rFonts w:ascii="Verdana" w:hAnsi="Verdana"/>
          <w:sz w:val="20"/>
          <w:szCs w:val="20"/>
          <w:lang w:val="en-GB"/>
        </w:rPr>
        <w:t>constituents</w:t>
      </w:r>
      <w:r w:rsidR="00DB59E9">
        <w:rPr>
          <w:rFonts w:ascii="Verdana" w:hAnsi="Verdana"/>
          <w:sz w:val="20"/>
          <w:szCs w:val="20"/>
          <w:lang w:val="en-GB"/>
        </w:rPr>
        <w:t xml:space="preserve"> associated with PBT properties.</w:t>
      </w:r>
    </w:p>
    <w:p w14:paraId="539E636F" w14:textId="09FFD8E3" w:rsidR="00576E10" w:rsidRDefault="000578F2" w:rsidP="000E324D">
      <w:pPr>
        <w:jc w:val="both"/>
        <w:rPr>
          <w:rFonts w:ascii="Verdana" w:hAnsi="Verdana"/>
          <w:sz w:val="20"/>
          <w:szCs w:val="20"/>
          <w:lang w:val="en-GB"/>
        </w:rPr>
      </w:pPr>
      <w:r>
        <w:rPr>
          <w:rFonts w:ascii="Verdana" w:hAnsi="Verdana"/>
          <w:sz w:val="20"/>
          <w:szCs w:val="20"/>
          <w:lang w:val="en-GB"/>
        </w:rPr>
        <w:t>MCCPs</w:t>
      </w:r>
      <w:r w:rsidR="00576E10" w:rsidRPr="00576E10">
        <w:rPr>
          <w:rFonts w:ascii="Verdana" w:hAnsi="Verdana"/>
          <w:sz w:val="20"/>
          <w:szCs w:val="20"/>
          <w:lang w:val="en-GB"/>
        </w:rPr>
        <w:t xml:space="preserve"> ha</w:t>
      </w:r>
      <w:r w:rsidR="00DB59E9">
        <w:rPr>
          <w:rFonts w:ascii="Verdana" w:hAnsi="Verdana"/>
          <w:sz w:val="20"/>
          <w:szCs w:val="20"/>
          <w:lang w:val="en-GB"/>
        </w:rPr>
        <w:t>s</w:t>
      </w:r>
      <w:r w:rsidR="00576E10" w:rsidRPr="00576E10">
        <w:rPr>
          <w:rFonts w:ascii="Verdana" w:hAnsi="Verdana"/>
          <w:sz w:val="20"/>
          <w:szCs w:val="20"/>
          <w:lang w:val="en-GB"/>
        </w:rPr>
        <w:t xml:space="preserve"> been detected in </w:t>
      </w:r>
      <w:r w:rsidR="002723D4">
        <w:rPr>
          <w:rFonts w:ascii="Verdana" w:hAnsi="Verdana"/>
          <w:sz w:val="20"/>
          <w:szCs w:val="20"/>
          <w:lang w:val="en-GB"/>
        </w:rPr>
        <w:t xml:space="preserve">environmental </w:t>
      </w:r>
      <w:r w:rsidR="00576E10" w:rsidRPr="00576E10">
        <w:rPr>
          <w:rFonts w:ascii="Verdana" w:hAnsi="Verdana"/>
          <w:sz w:val="20"/>
          <w:szCs w:val="20"/>
          <w:lang w:val="en-GB"/>
        </w:rPr>
        <w:t xml:space="preserve">samples from remote regions, </w:t>
      </w:r>
      <w:r w:rsidR="00535122">
        <w:rPr>
          <w:rFonts w:ascii="Verdana" w:hAnsi="Verdana"/>
          <w:sz w:val="20"/>
          <w:szCs w:val="20"/>
          <w:lang w:val="en-GB"/>
        </w:rPr>
        <w:t>such as</w:t>
      </w:r>
      <w:r w:rsidR="00535122" w:rsidRPr="00576E10">
        <w:rPr>
          <w:rFonts w:ascii="Verdana" w:hAnsi="Verdana"/>
          <w:sz w:val="20"/>
          <w:szCs w:val="20"/>
          <w:lang w:val="en-GB"/>
        </w:rPr>
        <w:t xml:space="preserve"> </w:t>
      </w:r>
      <w:r w:rsidR="00576E10" w:rsidRPr="00576E10">
        <w:rPr>
          <w:rFonts w:ascii="Verdana" w:hAnsi="Verdana"/>
          <w:sz w:val="20"/>
          <w:szCs w:val="20"/>
          <w:lang w:val="en-GB"/>
        </w:rPr>
        <w:t xml:space="preserve">the Arctic, </w:t>
      </w:r>
      <w:r w:rsidR="002723D4">
        <w:rPr>
          <w:rFonts w:ascii="Verdana" w:hAnsi="Verdana"/>
          <w:sz w:val="20"/>
          <w:szCs w:val="20"/>
          <w:lang w:val="en-GB"/>
        </w:rPr>
        <w:t xml:space="preserve">including in </w:t>
      </w:r>
      <w:r w:rsidR="00576E10" w:rsidRPr="00576E10">
        <w:rPr>
          <w:rFonts w:ascii="Verdana" w:hAnsi="Verdana"/>
          <w:sz w:val="20"/>
          <w:szCs w:val="20"/>
          <w:lang w:val="en-GB"/>
        </w:rPr>
        <w:t xml:space="preserve">top predators. Only limited information is available on the actual carbon chain length distribution and chlorine contents of the </w:t>
      </w:r>
      <w:r>
        <w:rPr>
          <w:rFonts w:ascii="Verdana" w:hAnsi="Verdana"/>
          <w:sz w:val="20"/>
          <w:szCs w:val="20"/>
          <w:lang w:val="en-GB"/>
        </w:rPr>
        <w:t>MCCPs</w:t>
      </w:r>
      <w:r w:rsidR="00576E10" w:rsidRPr="00576E10">
        <w:rPr>
          <w:rFonts w:ascii="Verdana" w:hAnsi="Verdana"/>
          <w:sz w:val="20"/>
          <w:szCs w:val="20"/>
          <w:lang w:val="en-GB"/>
        </w:rPr>
        <w:t xml:space="preserve"> detected in environmental samples, although advances in analytical methodologies have meant that this has been possible in some of the more recent studies.</w:t>
      </w:r>
    </w:p>
    <w:p w14:paraId="296FA776" w14:textId="37303377" w:rsidR="009C73A4" w:rsidRDefault="009C73A4" w:rsidP="000E324D">
      <w:pPr>
        <w:jc w:val="both"/>
        <w:rPr>
          <w:rFonts w:ascii="Verdana" w:hAnsi="Verdana"/>
          <w:sz w:val="20"/>
          <w:szCs w:val="20"/>
          <w:lang w:val="en-GB"/>
        </w:rPr>
      </w:pPr>
      <w:r>
        <w:rPr>
          <w:rFonts w:ascii="Verdana" w:hAnsi="Verdana"/>
          <w:sz w:val="20"/>
          <w:szCs w:val="20"/>
          <w:lang w:val="en-GB"/>
        </w:rPr>
        <w:t xml:space="preserve">Listing of </w:t>
      </w:r>
      <w:r w:rsidR="000578F2">
        <w:rPr>
          <w:rFonts w:ascii="Verdana" w:hAnsi="Verdana"/>
          <w:sz w:val="20"/>
          <w:szCs w:val="20"/>
          <w:lang w:val="en-GB"/>
        </w:rPr>
        <w:t>MCCPs</w:t>
      </w:r>
      <w:r>
        <w:rPr>
          <w:rFonts w:ascii="Verdana" w:hAnsi="Verdana"/>
          <w:sz w:val="20"/>
          <w:szCs w:val="20"/>
          <w:lang w:val="en-GB"/>
        </w:rPr>
        <w:t xml:space="preserve"> in Annex A (elimination) or Annex B (restriction) of the Stockholm Convention could be implemented with a threshold concentration level to allow recycling of contaminated materials where this represents the best environmental option.</w:t>
      </w:r>
    </w:p>
    <w:p w14:paraId="497020A6" w14:textId="6A58AB45" w:rsidR="00F51697" w:rsidRDefault="00535122" w:rsidP="00D35A5A">
      <w:pPr>
        <w:spacing w:after="0"/>
        <w:jc w:val="both"/>
        <w:rPr>
          <w:rFonts w:ascii="Verdana" w:hAnsi="Verdana"/>
          <w:sz w:val="20"/>
          <w:szCs w:val="20"/>
          <w:lang w:val="en-GB"/>
        </w:rPr>
      </w:pPr>
      <w:r>
        <w:rPr>
          <w:rFonts w:ascii="Verdana" w:hAnsi="Verdana"/>
          <w:sz w:val="20"/>
          <w:szCs w:val="20"/>
          <w:lang w:val="en-GB"/>
        </w:rPr>
        <w:t>In conclusion,</w:t>
      </w:r>
      <w:r w:rsidR="00785CA1">
        <w:rPr>
          <w:rFonts w:ascii="Verdana" w:hAnsi="Verdana"/>
          <w:sz w:val="20"/>
          <w:szCs w:val="20"/>
          <w:lang w:val="en-GB"/>
        </w:rPr>
        <w:t xml:space="preserve"> </w:t>
      </w:r>
      <w:r w:rsidR="000E324D" w:rsidRPr="001B0749">
        <w:rPr>
          <w:rFonts w:ascii="Verdana" w:hAnsi="Verdana"/>
          <w:sz w:val="20"/>
          <w:szCs w:val="20"/>
          <w:lang w:val="en-GB"/>
        </w:rPr>
        <w:t>POPs</w:t>
      </w:r>
      <w:r w:rsidR="00785CA1">
        <w:rPr>
          <w:rFonts w:ascii="Verdana" w:hAnsi="Verdana"/>
          <w:sz w:val="20"/>
          <w:szCs w:val="20"/>
          <w:lang w:val="en-GB"/>
        </w:rPr>
        <w:t xml:space="preserve"> listing </w:t>
      </w:r>
      <w:r w:rsidR="000E324D" w:rsidRPr="001B0749">
        <w:rPr>
          <w:rFonts w:ascii="Verdana" w:hAnsi="Verdana"/>
          <w:sz w:val="20"/>
          <w:szCs w:val="20"/>
          <w:lang w:val="en-GB"/>
        </w:rPr>
        <w:t>is</w:t>
      </w:r>
      <w:r w:rsidR="00F51697">
        <w:rPr>
          <w:rFonts w:ascii="Verdana" w:hAnsi="Verdana"/>
          <w:sz w:val="20"/>
          <w:szCs w:val="20"/>
          <w:lang w:val="en-GB"/>
        </w:rPr>
        <w:t xml:space="preserve"> </w:t>
      </w:r>
      <w:r w:rsidR="000E324D" w:rsidRPr="001B0749">
        <w:rPr>
          <w:rFonts w:ascii="Verdana" w:hAnsi="Verdana"/>
          <w:sz w:val="20"/>
          <w:szCs w:val="20"/>
          <w:lang w:val="en-GB"/>
        </w:rPr>
        <w:t xml:space="preserve">a </w:t>
      </w:r>
      <w:r w:rsidR="00F51697">
        <w:rPr>
          <w:rFonts w:ascii="Verdana" w:hAnsi="Verdana"/>
          <w:sz w:val="20"/>
          <w:szCs w:val="20"/>
          <w:lang w:val="en-GB"/>
        </w:rPr>
        <w:t>potential</w:t>
      </w:r>
      <w:r w:rsidR="00E47523">
        <w:rPr>
          <w:rFonts w:ascii="Verdana" w:hAnsi="Verdana"/>
          <w:sz w:val="20"/>
          <w:szCs w:val="20"/>
          <w:lang w:val="en-GB"/>
        </w:rPr>
        <w:t>ly applicable and effective</w:t>
      </w:r>
      <w:r w:rsidR="000E324D" w:rsidRPr="001B0749">
        <w:rPr>
          <w:rFonts w:ascii="Verdana" w:hAnsi="Verdana"/>
          <w:sz w:val="20"/>
          <w:szCs w:val="20"/>
          <w:lang w:val="en-GB"/>
        </w:rPr>
        <w:t xml:space="preserve"> risk management option</w:t>
      </w:r>
      <w:r w:rsidR="00636C12">
        <w:rPr>
          <w:rFonts w:ascii="Verdana" w:hAnsi="Verdana"/>
          <w:sz w:val="20"/>
          <w:szCs w:val="20"/>
          <w:lang w:val="en-GB"/>
        </w:rPr>
        <w:t xml:space="preserve">, provided that recognises the complexity of the substance </w:t>
      </w:r>
      <w:r w:rsidR="00DB59E9">
        <w:rPr>
          <w:rFonts w:ascii="Verdana" w:hAnsi="Verdana"/>
          <w:sz w:val="20"/>
          <w:szCs w:val="20"/>
          <w:lang w:val="en-GB"/>
        </w:rPr>
        <w:t xml:space="preserve">– including the finding </w:t>
      </w:r>
      <w:r w:rsidR="00636C12">
        <w:rPr>
          <w:rFonts w:ascii="Verdana" w:hAnsi="Verdana"/>
          <w:sz w:val="20"/>
          <w:szCs w:val="20"/>
          <w:lang w:val="en-GB"/>
        </w:rPr>
        <w:t xml:space="preserve"> that only some </w:t>
      </w:r>
      <w:r w:rsidR="002F2E37">
        <w:rPr>
          <w:rFonts w:ascii="Verdana" w:hAnsi="Verdana"/>
          <w:sz w:val="20"/>
          <w:szCs w:val="20"/>
          <w:lang w:val="en-GB"/>
        </w:rPr>
        <w:t>constituents</w:t>
      </w:r>
      <w:r w:rsidR="00636C12">
        <w:rPr>
          <w:rFonts w:ascii="Verdana" w:hAnsi="Verdana"/>
          <w:sz w:val="20"/>
          <w:szCs w:val="20"/>
          <w:lang w:val="en-GB"/>
        </w:rPr>
        <w:t xml:space="preserve"> have PBT properties</w:t>
      </w:r>
      <w:r w:rsidR="009C73A4">
        <w:rPr>
          <w:rFonts w:ascii="Verdana" w:hAnsi="Verdana"/>
          <w:sz w:val="20"/>
          <w:szCs w:val="20"/>
          <w:lang w:val="en-GB"/>
        </w:rPr>
        <w:t xml:space="preserve"> – and can be implemented in such a way as to allow continued recycling of contaminated materials</w:t>
      </w:r>
      <w:r w:rsidR="00F51697">
        <w:rPr>
          <w:rFonts w:ascii="Verdana" w:hAnsi="Verdana"/>
          <w:sz w:val="20"/>
          <w:szCs w:val="20"/>
          <w:lang w:val="en-GB"/>
        </w:rPr>
        <w:t>.</w:t>
      </w:r>
      <w:r w:rsidR="00636C12">
        <w:rPr>
          <w:rFonts w:ascii="Verdana" w:hAnsi="Verdana"/>
          <w:sz w:val="20"/>
          <w:szCs w:val="20"/>
          <w:lang w:val="en-GB"/>
        </w:rPr>
        <w:t xml:space="preserve"> </w:t>
      </w:r>
      <w:r w:rsidR="00DB59E9">
        <w:rPr>
          <w:rFonts w:ascii="Verdana" w:hAnsi="Verdana"/>
          <w:sz w:val="20"/>
          <w:szCs w:val="20"/>
          <w:lang w:val="en-GB"/>
        </w:rPr>
        <w:t xml:space="preserve">POPs listing </w:t>
      </w:r>
      <w:r w:rsidR="00636C12">
        <w:rPr>
          <w:rFonts w:ascii="Verdana" w:hAnsi="Verdana"/>
          <w:sz w:val="20"/>
          <w:szCs w:val="20"/>
          <w:lang w:val="en-GB"/>
        </w:rPr>
        <w:t xml:space="preserve"> could be initiated in parallel or subsequent to a</w:t>
      </w:r>
      <w:r w:rsidR="00A6547A">
        <w:rPr>
          <w:rFonts w:ascii="Verdana" w:hAnsi="Verdana"/>
          <w:sz w:val="20"/>
          <w:szCs w:val="20"/>
          <w:lang w:val="en-GB"/>
        </w:rPr>
        <w:t>n EU restriction, and could involve other non-EU countries that are currently contemplating action.</w:t>
      </w:r>
    </w:p>
    <w:p w14:paraId="47FA3C24" w14:textId="77777777" w:rsidR="000E324D" w:rsidRDefault="000E324D">
      <w:pPr>
        <w:spacing w:after="0"/>
        <w:rPr>
          <w:rFonts w:ascii="Verdana" w:hAnsi="Verdana"/>
          <w:b/>
          <w:sz w:val="20"/>
          <w:szCs w:val="20"/>
          <w:lang w:val="en-GB"/>
        </w:rPr>
      </w:pPr>
    </w:p>
    <w:p w14:paraId="65E21914" w14:textId="10C927BF" w:rsidR="000E324D" w:rsidRPr="001B0749" w:rsidRDefault="000E324D" w:rsidP="000E324D">
      <w:pPr>
        <w:jc w:val="both"/>
        <w:rPr>
          <w:rFonts w:ascii="Verdana" w:hAnsi="Verdana"/>
          <w:sz w:val="20"/>
          <w:szCs w:val="20"/>
          <w:lang w:val="en-GB"/>
        </w:rPr>
      </w:pPr>
      <w:r w:rsidRPr="001B0749">
        <w:rPr>
          <w:rFonts w:ascii="Verdana" w:hAnsi="Verdana"/>
          <w:b/>
          <w:sz w:val="20"/>
          <w:szCs w:val="20"/>
          <w:lang w:val="en-GB"/>
        </w:rPr>
        <w:t>Water Framework Directive (2000/60/EC)</w:t>
      </w:r>
    </w:p>
    <w:p w14:paraId="2DE8F29A" w14:textId="72BF3399" w:rsidR="000E324D" w:rsidRDefault="000E324D" w:rsidP="000E324D">
      <w:pPr>
        <w:jc w:val="both"/>
        <w:rPr>
          <w:rFonts w:ascii="Verdana" w:hAnsi="Verdana"/>
          <w:sz w:val="20"/>
          <w:szCs w:val="20"/>
          <w:lang w:val="en-GB"/>
        </w:rPr>
      </w:pPr>
      <w:r w:rsidRPr="001B0749">
        <w:rPr>
          <w:rFonts w:ascii="Verdana" w:hAnsi="Verdana"/>
          <w:sz w:val="20"/>
          <w:szCs w:val="20"/>
          <w:lang w:val="en-GB"/>
        </w:rPr>
        <w:t>Th</w:t>
      </w:r>
      <w:r w:rsidR="00F51697">
        <w:rPr>
          <w:rFonts w:ascii="Verdana" w:hAnsi="Verdana"/>
          <w:sz w:val="20"/>
          <w:szCs w:val="20"/>
          <w:lang w:val="en-GB"/>
        </w:rPr>
        <w:t>e WFD</w:t>
      </w:r>
      <w:r w:rsidRPr="001B0749">
        <w:rPr>
          <w:rFonts w:ascii="Verdana" w:hAnsi="Verdana"/>
          <w:sz w:val="20"/>
          <w:szCs w:val="20"/>
          <w:lang w:val="en-GB"/>
        </w:rPr>
        <w:t xml:space="preserve"> provides a framework for the </w:t>
      </w:r>
      <w:r w:rsidR="00785CA1">
        <w:rPr>
          <w:rFonts w:ascii="Verdana" w:hAnsi="Verdana"/>
          <w:sz w:val="20"/>
          <w:szCs w:val="20"/>
          <w:lang w:val="en-GB"/>
        </w:rPr>
        <w:t xml:space="preserve">status assessment and </w:t>
      </w:r>
      <w:r w:rsidRPr="001B0749">
        <w:rPr>
          <w:rFonts w:ascii="Verdana" w:hAnsi="Verdana"/>
          <w:sz w:val="20"/>
          <w:szCs w:val="20"/>
          <w:lang w:val="en-GB"/>
        </w:rPr>
        <w:t>protection of inland surface waters, transitional waters, coastal water</w:t>
      </w:r>
      <w:r w:rsidR="00F51697">
        <w:rPr>
          <w:rFonts w:ascii="Verdana" w:hAnsi="Verdana"/>
          <w:sz w:val="20"/>
          <w:szCs w:val="20"/>
          <w:lang w:val="en-GB"/>
        </w:rPr>
        <w:t>s</w:t>
      </w:r>
      <w:r w:rsidRPr="001B0749">
        <w:rPr>
          <w:rFonts w:ascii="Verdana" w:hAnsi="Verdana"/>
          <w:sz w:val="20"/>
          <w:szCs w:val="20"/>
          <w:lang w:val="en-GB"/>
        </w:rPr>
        <w:t xml:space="preserve"> and groundwater. It does not </w:t>
      </w:r>
      <w:r w:rsidR="002C58AD">
        <w:rPr>
          <w:rFonts w:ascii="Verdana" w:hAnsi="Verdana"/>
          <w:sz w:val="20"/>
          <w:szCs w:val="20"/>
          <w:lang w:val="en-GB"/>
        </w:rPr>
        <w:t xml:space="preserve">directly </w:t>
      </w:r>
      <w:r w:rsidRPr="001B0749">
        <w:rPr>
          <w:rFonts w:ascii="Verdana" w:hAnsi="Verdana"/>
          <w:sz w:val="20"/>
          <w:szCs w:val="20"/>
          <w:lang w:val="en-GB"/>
        </w:rPr>
        <w:t>address emissions to air or land</w:t>
      </w:r>
      <w:r w:rsidR="002C58AD">
        <w:rPr>
          <w:rFonts w:ascii="Verdana" w:hAnsi="Verdana"/>
          <w:sz w:val="20"/>
          <w:szCs w:val="20"/>
          <w:lang w:val="en-GB"/>
        </w:rPr>
        <w:t>, although river basin management plans can seek to influence such activities</w:t>
      </w:r>
      <w:r w:rsidRPr="001B0749">
        <w:rPr>
          <w:rFonts w:ascii="Verdana" w:hAnsi="Verdana"/>
          <w:sz w:val="20"/>
          <w:szCs w:val="20"/>
          <w:lang w:val="en-GB"/>
        </w:rPr>
        <w:t xml:space="preserve">. It places duties on Member States to regulate the release of discharges into the aquatic environment. The Directive itself does not provide any mechanisms to control emissions directly; local emissions to the environment would be controlled by national measures </w:t>
      </w:r>
      <w:r w:rsidR="00F51697">
        <w:rPr>
          <w:rFonts w:ascii="Verdana" w:hAnsi="Verdana"/>
          <w:sz w:val="20"/>
          <w:szCs w:val="20"/>
          <w:lang w:val="en-GB"/>
        </w:rPr>
        <w:t xml:space="preserve">such as </w:t>
      </w:r>
      <w:r w:rsidRPr="001B0749">
        <w:rPr>
          <w:rFonts w:ascii="Verdana" w:hAnsi="Verdana"/>
          <w:sz w:val="20"/>
          <w:szCs w:val="20"/>
          <w:lang w:val="en-GB"/>
        </w:rPr>
        <w:t>environmental permits.</w:t>
      </w:r>
    </w:p>
    <w:p w14:paraId="06A2227B" w14:textId="18AFB108" w:rsidR="00F67902" w:rsidRPr="001B0749" w:rsidRDefault="00F67902" w:rsidP="000E324D">
      <w:pPr>
        <w:jc w:val="both"/>
        <w:rPr>
          <w:rFonts w:ascii="Verdana" w:hAnsi="Verdana"/>
          <w:sz w:val="20"/>
          <w:szCs w:val="20"/>
          <w:lang w:val="en-GB"/>
        </w:rPr>
      </w:pPr>
      <w:r>
        <w:rPr>
          <w:rFonts w:ascii="Verdana" w:hAnsi="Verdana"/>
          <w:sz w:val="20"/>
          <w:szCs w:val="20"/>
          <w:lang w:val="en-GB"/>
        </w:rPr>
        <w:t xml:space="preserve">Annex X of the Directive established a list of Priority Substances and Priority Hazardous Substances for control. Annex X and the associated Environmental Quality Standards have been amended in a daughter directive, </w:t>
      </w:r>
      <w:r w:rsidRPr="00F67902">
        <w:rPr>
          <w:rFonts w:ascii="Verdana" w:hAnsi="Verdana"/>
          <w:sz w:val="20"/>
          <w:szCs w:val="20"/>
          <w:lang w:val="en-GB"/>
        </w:rPr>
        <w:t>2008/105/EC</w:t>
      </w:r>
      <w:r>
        <w:rPr>
          <w:rFonts w:ascii="Verdana" w:hAnsi="Verdana"/>
          <w:sz w:val="20"/>
          <w:szCs w:val="20"/>
          <w:lang w:val="en-GB"/>
        </w:rPr>
        <w:t>, the EQS Directive.</w:t>
      </w:r>
    </w:p>
    <w:p w14:paraId="5CAFCBB8" w14:textId="0AA2F4A9" w:rsidR="000E324D" w:rsidRPr="001B0749" w:rsidRDefault="000E324D" w:rsidP="000E324D">
      <w:pPr>
        <w:jc w:val="both"/>
        <w:rPr>
          <w:rFonts w:ascii="Verdana" w:hAnsi="Verdana"/>
          <w:sz w:val="20"/>
          <w:szCs w:val="20"/>
          <w:lang w:val="en-GB"/>
        </w:rPr>
      </w:pPr>
      <w:r w:rsidRPr="001B0749">
        <w:rPr>
          <w:rFonts w:ascii="Verdana" w:hAnsi="Verdana"/>
          <w:sz w:val="20"/>
          <w:szCs w:val="20"/>
          <w:lang w:val="en-GB"/>
        </w:rPr>
        <w:t xml:space="preserve">Identification of </w:t>
      </w:r>
      <w:r w:rsidR="000578F2">
        <w:rPr>
          <w:rFonts w:ascii="Verdana" w:hAnsi="Verdana"/>
          <w:sz w:val="20"/>
          <w:szCs w:val="20"/>
          <w:lang w:val="en-GB"/>
        </w:rPr>
        <w:t>MCCPs</w:t>
      </w:r>
      <w:r w:rsidR="00607BBD">
        <w:rPr>
          <w:rFonts w:ascii="Verdana" w:hAnsi="Verdana"/>
          <w:sz w:val="20"/>
          <w:szCs w:val="20"/>
          <w:lang w:val="en-GB"/>
        </w:rPr>
        <w:t xml:space="preserve"> </w:t>
      </w:r>
      <w:r w:rsidR="00F51697">
        <w:rPr>
          <w:rFonts w:ascii="Verdana" w:hAnsi="Verdana"/>
          <w:sz w:val="20"/>
          <w:szCs w:val="20"/>
          <w:lang w:val="en-GB"/>
        </w:rPr>
        <w:t>a</w:t>
      </w:r>
      <w:r w:rsidRPr="001B0749">
        <w:rPr>
          <w:rFonts w:ascii="Verdana" w:hAnsi="Verdana"/>
          <w:sz w:val="20"/>
          <w:szCs w:val="20"/>
          <w:lang w:val="en-GB"/>
        </w:rPr>
        <w:t xml:space="preserve">s a </w:t>
      </w:r>
      <w:r w:rsidR="00785CA1">
        <w:rPr>
          <w:rFonts w:ascii="Verdana" w:hAnsi="Verdana"/>
          <w:sz w:val="20"/>
          <w:szCs w:val="20"/>
          <w:lang w:val="en-GB"/>
        </w:rPr>
        <w:t xml:space="preserve">Priority Substance or </w:t>
      </w:r>
      <w:r w:rsidR="002C58AD">
        <w:rPr>
          <w:rFonts w:ascii="Verdana" w:hAnsi="Verdana"/>
          <w:sz w:val="20"/>
          <w:szCs w:val="20"/>
          <w:lang w:val="en-GB"/>
        </w:rPr>
        <w:t xml:space="preserve">(more likely) </w:t>
      </w:r>
      <w:r w:rsidRPr="001B0749">
        <w:rPr>
          <w:rFonts w:ascii="Verdana" w:hAnsi="Verdana"/>
          <w:sz w:val="20"/>
          <w:szCs w:val="20"/>
          <w:lang w:val="en-GB"/>
        </w:rPr>
        <w:t xml:space="preserve">Priority Hazardous Substance  </w:t>
      </w:r>
      <w:r w:rsidR="00175E7B">
        <w:rPr>
          <w:rFonts w:ascii="Verdana" w:hAnsi="Verdana"/>
          <w:sz w:val="20"/>
          <w:szCs w:val="20"/>
          <w:lang w:val="en-GB"/>
        </w:rPr>
        <w:t xml:space="preserve">(PHS) </w:t>
      </w:r>
      <w:r w:rsidRPr="001B0749">
        <w:rPr>
          <w:rFonts w:ascii="Verdana" w:hAnsi="Verdana"/>
          <w:sz w:val="20"/>
          <w:szCs w:val="20"/>
          <w:lang w:val="en-GB"/>
        </w:rPr>
        <w:t>would require the Commission to establish Environmental Quality Standard</w:t>
      </w:r>
      <w:r w:rsidR="00175E7B">
        <w:rPr>
          <w:rFonts w:ascii="Verdana" w:hAnsi="Verdana"/>
          <w:sz w:val="20"/>
          <w:szCs w:val="20"/>
          <w:lang w:val="en-GB"/>
        </w:rPr>
        <w:t>s</w:t>
      </w:r>
      <w:r w:rsidRPr="001B0749">
        <w:rPr>
          <w:rFonts w:ascii="Verdana" w:hAnsi="Verdana"/>
          <w:sz w:val="20"/>
          <w:szCs w:val="20"/>
          <w:lang w:val="en-GB"/>
        </w:rPr>
        <w:t xml:space="preserve"> (EQS)</w:t>
      </w:r>
      <w:r w:rsidR="00175E7B">
        <w:rPr>
          <w:rFonts w:ascii="Verdana" w:hAnsi="Verdana"/>
          <w:sz w:val="20"/>
          <w:szCs w:val="20"/>
          <w:lang w:val="en-GB"/>
        </w:rPr>
        <w:t>,</w:t>
      </w:r>
      <w:r w:rsidRPr="001B0749">
        <w:rPr>
          <w:rFonts w:ascii="Verdana" w:hAnsi="Verdana"/>
          <w:sz w:val="20"/>
          <w:szCs w:val="20"/>
          <w:lang w:val="en-GB"/>
        </w:rPr>
        <w:t xml:space="preserve"> at the European level</w:t>
      </w:r>
      <w:r w:rsidR="00175E7B">
        <w:rPr>
          <w:rFonts w:ascii="Verdana" w:hAnsi="Verdana"/>
          <w:sz w:val="20"/>
          <w:szCs w:val="20"/>
          <w:lang w:val="en-GB"/>
        </w:rPr>
        <w:t>, for receiving waters or biota</w:t>
      </w:r>
      <w:r w:rsidR="00F51697">
        <w:rPr>
          <w:rFonts w:ascii="Verdana" w:hAnsi="Verdana"/>
          <w:sz w:val="20"/>
          <w:szCs w:val="20"/>
          <w:lang w:val="en-GB"/>
        </w:rPr>
        <w:t>.</w:t>
      </w:r>
      <w:r w:rsidRPr="001B0749">
        <w:rPr>
          <w:rFonts w:ascii="Verdana" w:hAnsi="Verdana"/>
          <w:sz w:val="20"/>
          <w:szCs w:val="20"/>
          <w:lang w:val="en-GB"/>
        </w:rPr>
        <w:t xml:space="preserve"> Member States would then be obliged to </w:t>
      </w:r>
      <w:r w:rsidR="00175E7B">
        <w:rPr>
          <w:rFonts w:ascii="Verdana" w:hAnsi="Verdana"/>
          <w:sz w:val="20"/>
          <w:szCs w:val="20"/>
          <w:lang w:val="en-GB"/>
        </w:rPr>
        <w:t xml:space="preserve">plan and deliver programmes of </w:t>
      </w:r>
      <w:r w:rsidRPr="001B0749">
        <w:rPr>
          <w:rFonts w:ascii="Verdana" w:hAnsi="Verdana"/>
          <w:sz w:val="20"/>
          <w:szCs w:val="20"/>
          <w:lang w:val="en-GB"/>
        </w:rPr>
        <w:t xml:space="preserve">measures to achieve the EQS, where it is technically feasible and not disproportionately costly to do so. If </w:t>
      </w:r>
      <w:r w:rsidR="000578F2">
        <w:rPr>
          <w:rFonts w:ascii="Verdana" w:hAnsi="Verdana"/>
          <w:sz w:val="20"/>
          <w:szCs w:val="20"/>
          <w:lang w:val="en-GB"/>
        </w:rPr>
        <w:t>MCCPs</w:t>
      </w:r>
      <w:r w:rsidR="00607BBD">
        <w:rPr>
          <w:rFonts w:ascii="Verdana" w:hAnsi="Verdana"/>
          <w:sz w:val="20"/>
          <w:szCs w:val="20"/>
          <w:lang w:val="en-GB"/>
        </w:rPr>
        <w:t xml:space="preserve"> </w:t>
      </w:r>
      <w:r w:rsidRPr="001B0749">
        <w:rPr>
          <w:rFonts w:ascii="Verdana" w:hAnsi="Verdana"/>
          <w:sz w:val="20"/>
          <w:szCs w:val="20"/>
          <w:lang w:val="en-GB"/>
        </w:rPr>
        <w:t>w</w:t>
      </w:r>
      <w:r w:rsidR="00F51697">
        <w:rPr>
          <w:rFonts w:ascii="Verdana" w:hAnsi="Verdana"/>
          <w:sz w:val="20"/>
          <w:szCs w:val="20"/>
          <w:lang w:val="en-GB"/>
        </w:rPr>
        <w:t>ere</w:t>
      </w:r>
      <w:r w:rsidRPr="001B0749">
        <w:rPr>
          <w:rFonts w:ascii="Verdana" w:hAnsi="Verdana"/>
          <w:sz w:val="20"/>
          <w:szCs w:val="20"/>
          <w:lang w:val="en-GB"/>
        </w:rPr>
        <w:t xml:space="preserve"> to be designated as a PHS</w:t>
      </w:r>
      <w:r w:rsidR="004A1FB5">
        <w:rPr>
          <w:rFonts w:ascii="Verdana" w:hAnsi="Verdana"/>
          <w:sz w:val="20"/>
          <w:szCs w:val="20"/>
          <w:lang w:val="en-GB"/>
        </w:rPr>
        <w:t>,</w:t>
      </w:r>
      <w:r w:rsidRPr="001B0749">
        <w:rPr>
          <w:rFonts w:ascii="Verdana" w:hAnsi="Verdana"/>
          <w:sz w:val="20"/>
          <w:szCs w:val="20"/>
          <w:lang w:val="en-GB"/>
        </w:rPr>
        <w:t xml:space="preserve"> then Member States would also have to carry out measures for the cessation or phasing out of discharges, emissions and losses to the aquatic environment.</w:t>
      </w:r>
    </w:p>
    <w:p w14:paraId="0DA39C87" w14:textId="22CFF153" w:rsidR="004A1FB5" w:rsidRPr="004A1FB5" w:rsidRDefault="000578F2" w:rsidP="004A1FB5">
      <w:pPr>
        <w:jc w:val="both"/>
        <w:rPr>
          <w:rFonts w:ascii="Verdana" w:hAnsi="Verdana"/>
          <w:sz w:val="20"/>
          <w:szCs w:val="20"/>
          <w:lang w:val="en-GB"/>
        </w:rPr>
      </w:pPr>
      <w:r>
        <w:rPr>
          <w:rFonts w:ascii="Verdana" w:hAnsi="Verdana"/>
          <w:sz w:val="20"/>
          <w:szCs w:val="20"/>
          <w:lang w:val="en-GB"/>
        </w:rPr>
        <w:t>MCCPs</w:t>
      </w:r>
      <w:r w:rsidR="00607BBD">
        <w:rPr>
          <w:rFonts w:ascii="Verdana" w:hAnsi="Verdana"/>
          <w:sz w:val="20"/>
          <w:szCs w:val="20"/>
          <w:lang w:val="en-GB"/>
        </w:rPr>
        <w:t xml:space="preserve"> </w:t>
      </w:r>
      <w:r w:rsidR="000E324D" w:rsidRPr="001B0749">
        <w:rPr>
          <w:rFonts w:ascii="Verdana" w:hAnsi="Verdana"/>
          <w:sz w:val="20"/>
          <w:szCs w:val="20"/>
          <w:lang w:val="en-GB"/>
        </w:rPr>
        <w:t xml:space="preserve">is not currently specified as either a </w:t>
      </w:r>
      <w:r w:rsidR="00F51697">
        <w:rPr>
          <w:rFonts w:ascii="Verdana" w:hAnsi="Verdana"/>
          <w:sz w:val="20"/>
          <w:szCs w:val="20"/>
          <w:lang w:val="en-GB"/>
        </w:rPr>
        <w:t>P</w:t>
      </w:r>
      <w:r w:rsidR="000E324D" w:rsidRPr="001B0749">
        <w:rPr>
          <w:rFonts w:ascii="Verdana" w:hAnsi="Verdana"/>
          <w:sz w:val="20"/>
          <w:szCs w:val="20"/>
          <w:lang w:val="en-GB"/>
        </w:rPr>
        <w:t xml:space="preserve">riority </w:t>
      </w:r>
      <w:r w:rsidR="00F51697">
        <w:rPr>
          <w:rFonts w:ascii="Verdana" w:hAnsi="Verdana"/>
          <w:sz w:val="20"/>
          <w:szCs w:val="20"/>
          <w:lang w:val="en-GB"/>
        </w:rPr>
        <w:t>S</w:t>
      </w:r>
      <w:r w:rsidR="000E324D" w:rsidRPr="001B0749">
        <w:rPr>
          <w:rFonts w:ascii="Verdana" w:hAnsi="Verdana"/>
          <w:sz w:val="20"/>
          <w:szCs w:val="20"/>
          <w:lang w:val="en-GB"/>
        </w:rPr>
        <w:t>ubstance or a PHS.</w:t>
      </w:r>
      <w:r w:rsidR="00786585">
        <w:rPr>
          <w:rFonts w:ascii="Verdana" w:hAnsi="Verdana"/>
          <w:sz w:val="20"/>
          <w:szCs w:val="20"/>
          <w:lang w:val="en-GB"/>
        </w:rPr>
        <w:t xml:space="preserve"> </w:t>
      </w:r>
      <w:r w:rsidR="001E2476" w:rsidRPr="001E2476">
        <w:rPr>
          <w:rFonts w:ascii="Verdana" w:hAnsi="Verdana"/>
          <w:sz w:val="20"/>
          <w:szCs w:val="20"/>
          <w:lang w:val="en-GB"/>
        </w:rPr>
        <w:t xml:space="preserve">The UK, supported by industry, prepared a dossier </w:t>
      </w:r>
      <w:r w:rsidR="001E2476">
        <w:rPr>
          <w:rFonts w:ascii="Verdana" w:hAnsi="Verdana"/>
          <w:sz w:val="20"/>
          <w:szCs w:val="20"/>
          <w:lang w:val="en-GB"/>
        </w:rPr>
        <w:t xml:space="preserve">in relation to including </w:t>
      </w:r>
      <w:r>
        <w:rPr>
          <w:rFonts w:ascii="Verdana" w:hAnsi="Verdana"/>
          <w:sz w:val="20"/>
          <w:szCs w:val="20"/>
          <w:lang w:val="en-GB"/>
        </w:rPr>
        <w:t>MCCPs</w:t>
      </w:r>
      <w:r w:rsidR="00607BBD">
        <w:rPr>
          <w:rFonts w:ascii="Verdana" w:hAnsi="Verdana"/>
          <w:sz w:val="20"/>
          <w:szCs w:val="20"/>
          <w:lang w:val="en-GB"/>
        </w:rPr>
        <w:t xml:space="preserve"> </w:t>
      </w:r>
      <w:r w:rsidR="001E2476">
        <w:rPr>
          <w:rFonts w:ascii="Verdana" w:hAnsi="Verdana"/>
          <w:sz w:val="20"/>
          <w:szCs w:val="20"/>
          <w:lang w:val="en-GB"/>
        </w:rPr>
        <w:t>in Annex X, but a</w:t>
      </w:r>
      <w:r w:rsidR="001E2476" w:rsidRPr="001E2476">
        <w:rPr>
          <w:rFonts w:ascii="Verdana" w:hAnsi="Verdana"/>
          <w:sz w:val="20"/>
          <w:szCs w:val="20"/>
          <w:lang w:val="en-GB"/>
        </w:rPr>
        <w:t xml:space="preserve">n Expert Group review meeting in May 2010 decided that </w:t>
      </w:r>
      <w:r>
        <w:rPr>
          <w:rFonts w:ascii="Verdana" w:hAnsi="Verdana"/>
          <w:sz w:val="20"/>
          <w:szCs w:val="20"/>
          <w:lang w:val="en-GB"/>
        </w:rPr>
        <w:t>MCCPs</w:t>
      </w:r>
      <w:r w:rsidR="001E2476" w:rsidRPr="001E2476">
        <w:rPr>
          <w:rFonts w:ascii="Verdana" w:hAnsi="Verdana"/>
          <w:sz w:val="20"/>
          <w:szCs w:val="20"/>
          <w:lang w:val="en-GB"/>
        </w:rPr>
        <w:t xml:space="preserve"> should not go forward to the next step in the process (draft EQS derivation). </w:t>
      </w:r>
      <w:r w:rsidR="004039F9">
        <w:rPr>
          <w:rFonts w:ascii="Verdana" w:hAnsi="Verdana"/>
          <w:sz w:val="20"/>
          <w:szCs w:val="20"/>
          <w:lang w:val="en-GB"/>
        </w:rPr>
        <w:t xml:space="preserve">It may now be appropriate to review that decision. </w:t>
      </w:r>
      <w:r w:rsidR="00786585">
        <w:rPr>
          <w:rFonts w:ascii="Verdana" w:hAnsi="Verdana"/>
          <w:sz w:val="20"/>
          <w:szCs w:val="20"/>
          <w:lang w:val="en-GB"/>
        </w:rPr>
        <w:t>Several  substances with related structures or functions</w:t>
      </w:r>
      <w:r w:rsidR="001E2476">
        <w:rPr>
          <w:rFonts w:ascii="Verdana" w:hAnsi="Verdana"/>
          <w:sz w:val="20"/>
          <w:szCs w:val="20"/>
          <w:lang w:val="en-GB"/>
        </w:rPr>
        <w:t>, and associated with similar concerns</w:t>
      </w:r>
      <w:r w:rsidR="00786585">
        <w:rPr>
          <w:rFonts w:ascii="Verdana" w:hAnsi="Verdana"/>
          <w:sz w:val="20"/>
          <w:szCs w:val="20"/>
          <w:lang w:val="en-GB"/>
        </w:rPr>
        <w:t xml:space="preserve"> </w:t>
      </w:r>
      <w:r w:rsidR="00A6547A">
        <w:rPr>
          <w:rFonts w:ascii="Verdana" w:hAnsi="Verdana"/>
          <w:sz w:val="20"/>
          <w:szCs w:val="20"/>
          <w:lang w:val="en-GB"/>
        </w:rPr>
        <w:t>(in particular</w:t>
      </w:r>
      <w:r w:rsidR="00786585">
        <w:rPr>
          <w:rFonts w:ascii="Verdana" w:hAnsi="Verdana"/>
          <w:sz w:val="20"/>
          <w:szCs w:val="20"/>
          <w:lang w:val="en-GB"/>
        </w:rPr>
        <w:t xml:space="preserve"> C</w:t>
      </w:r>
      <w:r w:rsidR="00786585" w:rsidRPr="00A6547A">
        <w:rPr>
          <w:rFonts w:ascii="Verdana" w:hAnsi="Verdana"/>
          <w:sz w:val="20"/>
          <w:szCs w:val="20"/>
          <w:vertAlign w:val="subscript"/>
          <w:lang w:val="en-GB"/>
        </w:rPr>
        <w:t>10-13</w:t>
      </w:r>
      <w:r w:rsidR="00786585">
        <w:rPr>
          <w:rFonts w:ascii="Verdana" w:hAnsi="Verdana"/>
          <w:sz w:val="20"/>
          <w:szCs w:val="20"/>
          <w:lang w:val="en-GB"/>
        </w:rPr>
        <w:t xml:space="preserve"> chloroalkanes</w:t>
      </w:r>
      <w:r w:rsidR="002C58AD">
        <w:rPr>
          <w:rFonts w:ascii="Verdana" w:hAnsi="Verdana"/>
          <w:sz w:val="20"/>
          <w:szCs w:val="20"/>
          <w:lang w:val="en-GB"/>
        </w:rPr>
        <w:t xml:space="preserve"> (</w:t>
      </w:r>
      <w:r w:rsidR="003A6F22">
        <w:rPr>
          <w:rFonts w:ascii="Verdana" w:hAnsi="Verdana"/>
          <w:sz w:val="20"/>
          <w:szCs w:val="20"/>
          <w:lang w:val="en-GB"/>
        </w:rPr>
        <w:t>SCCPs</w:t>
      </w:r>
      <w:r w:rsidR="002C58AD">
        <w:rPr>
          <w:rFonts w:ascii="Verdana" w:hAnsi="Verdana"/>
          <w:sz w:val="20"/>
          <w:szCs w:val="20"/>
          <w:lang w:val="en-GB"/>
        </w:rPr>
        <w:t>)</w:t>
      </w:r>
      <w:r w:rsidR="00A6547A">
        <w:rPr>
          <w:rFonts w:ascii="Verdana" w:hAnsi="Verdana"/>
          <w:sz w:val="20"/>
          <w:szCs w:val="20"/>
          <w:lang w:val="en-GB"/>
        </w:rPr>
        <w:t>),</w:t>
      </w:r>
      <w:r w:rsidR="00786585">
        <w:rPr>
          <w:rFonts w:ascii="Verdana" w:hAnsi="Verdana"/>
          <w:sz w:val="20"/>
          <w:szCs w:val="20"/>
          <w:lang w:val="en-GB"/>
        </w:rPr>
        <w:t xml:space="preserve"> have been designated as PHS</w:t>
      </w:r>
      <w:r w:rsidR="00535122">
        <w:rPr>
          <w:rFonts w:ascii="Verdana" w:hAnsi="Verdana"/>
          <w:sz w:val="20"/>
          <w:szCs w:val="20"/>
          <w:lang w:val="en-GB"/>
        </w:rPr>
        <w:t>, s</w:t>
      </w:r>
      <w:r w:rsidR="004A1FB5">
        <w:rPr>
          <w:rFonts w:ascii="Verdana" w:hAnsi="Verdana"/>
          <w:sz w:val="20"/>
          <w:szCs w:val="20"/>
          <w:lang w:val="en-GB"/>
        </w:rPr>
        <w:t>o there</w:t>
      </w:r>
      <w:r w:rsidR="004A1FB5" w:rsidRPr="004A1FB5">
        <w:rPr>
          <w:rFonts w:ascii="Verdana" w:hAnsi="Verdana"/>
          <w:sz w:val="20"/>
          <w:szCs w:val="20"/>
          <w:lang w:val="en-GB"/>
        </w:rPr>
        <w:t xml:space="preserve"> may</w:t>
      </w:r>
      <w:r w:rsidR="004A1FB5">
        <w:rPr>
          <w:rFonts w:ascii="Verdana" w:hAnsi="Verdana"/>
          <w:sz w:val="20"/>
          <w:szCs w:val="20"/>
          <w:lang w:val="en-GB"/>
        </w:rPr>
        <w:t xml:space="preserve"> </w:t>
      </w:r>
      <w:r w:rsidR="004A1FB5" w:rsidRPr="004A1FB5">
        <w:rPr>
          <w:rFonts w:ascii="Verdana" w:hAnsi="Verdana"/>
          <w:sz w:val="20"/>
          <w:szCs w:val="20"/>
          <w:lang w:val="en-GB"/>
        </w:rPr>
        <w:t xml:space="preserve">be a consistency case for designating </w:t>
      </w:r>
      <w:r>
        <w:rPr>
          <w:rFonts w:ascii="Verdana" w:hAnsi="Verdana"/>
          <w:sz w:val="20"/>
          <w:szCs w:val="20"/>
          <w:lang w:val="en-GB"/>
        </w:rPr>
        <w:t>MCCPs</w:t>
      </w:r>
      <w:r w:rsidR="00607BBD">
        <w:rPr>
          <w:rFonts w:ascii="Verdana" w:hAnsi="Verdana"/>
          <w:sz w:val="20"/>
          <w:szCs w:val="20"/>
          <w:lang w:val="en-GB"/>
        </w:rPr>
        <w:t xml:space="preserve"> </w:t>
      </w:r>
      <w:r w:rsidR="004A1FB5" w:rsidRPr="004A1FB5">
        <w:rPr>
          <w:rFonts w:ascii="Verdana" w:hAnsi="Verdana"/>
          <w:sz w:val="20"/>
          <w:szCs w:val="20"/>
          <w:lang w:val="en-GB"/>
        </w:rPr>
        <w:t xml:space="preserve">as a PHS. </w:t>
      </w:r>
    </w:p>
    <w:p w14:paraId="5F274083" w14:textId="47354FEE" w:rsidR="000E324D" w:rsidRDefault="00213ED8" w:rsidP="000E324D">
      <w:pPr>
        <w:jc w:val="both"/>
        <w:rPr>
          <w:rFonts w:ascii="Verdana" w:hAnsi="Verdana"/>
          <w:sz w:val="20"/>
          <w:szCs w:val="20"/>
          <w:lang w:val="en-GB"/>
        </w:rPr>
      </w:pPr>
      <w:r>
        <w:rPr>
          <w:rFonts w:ascii="Verdana" w:hAnsi="Verdana"/>
          <w:sz w:val="20"/>
          <w:szCs w:val="20"/>
          <w:lang w:val="en-GB"/>
        </w:rPr>
        <w:t>E</w:t>
      </w:r>
      <w:r w:rsidR="00F67902">
        <w:rPr>
          <w:rFonts w:ascii="Verdana" w:hAnsi="Verdana"/>
          <w:sz w:val="20"/>
          <w:szCs w:val="20"/>
          <w:lang w:val="en-GB"/>
        </w:rPr>
        <w:t xml:space="preserve">xperience in the UK suggests </w:t>
      </w:r>
      <w:r w:rsidR="00786585">
        <w:rPr>
          <w:rFonts w:ascii="Verdana" w:hAnsi="Verdana"/>
          <w:sz w:val="20"/>
          <w:szCs w:val="20"/>
          <w:lang w:val="en-GB"/>
        </w:rPr>
        <w:t xml:space="preserve">river basin plans have been </w:t>
      </w:r>
      <w:r>
        <w:rPr>
          <w:rFonts w:ascii="Verdana" w:hAnsi="Verdana"/>
          <w:sz w:val="20"/>
          <w:szCs w:val="20"/>
          <w:lang w:val="en-GB"/>
        </w:rPr>
        <w:t xml:space="preserve">of limited </w:t>
      </w:r>
      <w:r w:rsidR="00786585">
        <w:rPr>
          <w:rFonts w:ascii="Verdana" w:hAnsi="Verdana"/>
          <w:sz w:val="20"/>
          <w:szCs w:val="20"/>
          <w:lang w:val="en-GB"/>
        </w:rPr>
        <w:t>effective</w:t>
      </w:r>
      <w:r>
        <w:rPr>
          <w:rFonts w:ascii="Verdana" w:hAnsi="Verdana"/>
          <w:sz w:val="20"/>
          <w:szCs w:val="20"/>
          <w:lang w:val="en-GB"/>
        </w:rPr>
        <w:t>ness</w:t>
      </w:r>
      <w:r w:rsidR="00786585">
        <w:rPr>
          <w:rFonts w:ascii="Verdana" w:hAnsi="Verdana"/>
          <w:sz w:val="20"/>
          <w:szCs w:val="20"/>
          <w:lang w:val="en-GB"/>
        </w:rPr>
        <w:t xml:space="preserve"> in reducing releases </w:t>
      </w:r>
      <w:r w:rsidR="00744178">
        <w:rPr>
          <w:rFonts w:ascii="Verdana" w:hAnsi="Verdana"/>
          <w:sz w:val="20"/>
          <w:szCs w:val="20"/>
          <w:lang w:val="en-GB"/>
        </w:rPr>
        <w:t xml:space="preserve">of </w:t>
      </w:r>
      <w:r w:rsidR="004A1FB5">
        <w:rPr>
          <w:rFonts w:ascii="Verdana" w:hAnsi="Verdana"/>
          <w:sz w:val="20"/>
          <w:szCs w:val="20"/>
          <w:lang w:val="en-GB"/>
        </w:rPr>
        <w:t>PS/PHS</w:t>
      </w:r>
      <w:r w:rsidR="00744178">
        <w:rPr>
          <w:rFonts w:ascii="Verdana" w:hAnsi="Verdana"/>
          <w:sz w:val="20"/>
          <w:szCs w:val="20"/>
          <w:lang w:val="en-GB"/>
        </w:rPr>
        <w:t xml:space="preserve"> </w:t>
      </w:r>
      <w:r w:rsidR="00786585">
        <w:rPr>
          <w:rFonts w:ascii="Verdana" w:hAnsi="Verdana"/>
          <w:sz w:val="20"/>
          <w:szCs w:val="20"/>
          <w:lang w:val="en-GB"/>
        </w:rPr>
        <w:t>to the environment.</w:t>
      </w:r>
      <w:r>
        <w:rPr>
          <w:rFonts w:ascii="Verdana" w:hAnsi="Verdana"/>
          <w:sz w:val="20"/>
          <w:szCs w:val="20"/>
          <w:lang w:val="en-GB"/>
        </w:rPr>
        <w:t xml:space="preserve"> However, PS/PHS designation has driven </w:t>
      </w:r>
      <w:r w:rsidR="004A1FB5">
        <w:rPr>
          <w:rFonts w:ascii="Verdana" w:hAnsi="Verdana"/>
          <w:sz w:val="20"/>
          <w:szCs w:val="20"/>
          <w:lang w:val="en-GB"/>
        </w:rPr>
        <w:t xml:space="preserve">extensive </w:t>
      </w:r>
      <w:r>
        <w:rPr>
          <w:rFonts w:ascii="Verdana" w:hAnsi="Verdana"/>
          <w:sz w:val="20"/>
          <w:szCs w:val="20"/>
          <w:lang w:val="en-GB"/>
        </w:rPr>
        <w:t xml:space="preserve">monitoring investigations by the sewerage utilities that is generating enhanced understanding of </w:t>
      </w:r>
      <w:r w:rsidR="004A1FB5">
        <w:rPr>
          <w:rFonts w:ascii="Verdana" w:hAnsi="Verdana"/>
          <w:sz w:val="20"/>
          <w:szCs w:val="20"/>
          <w:lang w:val="en-GB"/>
        </w:rPr>
        <w:t xml:space="preserve">indirect </w:t>
      </w:r>
      <w:r>
        <w:rPr>
          <w:rFonts w:ascii="Verdana" w:hAnsi="Verdana"/>
          <w:sz w:val="20"/>
          <w:szCs w:val="20"/>
          <w:lang w:val="en-GB"/>
        </w:rPr>
        <w:t>releases via the sewerage network. This, and the potential cost to the sewerage utilities of enhanced sewage treatment</w:t>
      </w:r>
      <w:r w:rsidR="004A1FB5">
        <w:rPr>
          <w:rFonts w:ascii="Verdana" w:hAnsi="Verdana"/>
          <w:sz w:val="20"/>
          <w:szCs w:val="20"/>
          <w:lang w:val="en-GB"/>
        </w:rPr>
        <w:t xml:space="preserve"> </w:t>
      </w:r>
      <w:r w:rsidR="004A1FB5">
        <w:rPr>
          <w:rFonts w:ascii="Verdana" w:hAnsi="Verdana"/>
          <w:sz w:val="20"/>
          <w:szCs w:val="20"/>
          <w:lang w:val="en-GB"/>
        </w:rPr>
        <w:lastRenderedPageBreak/>
        <w:t>to meet prospective permit limits</w:t>
      </w:r>
      <w:r>
        <w:rPr>
          <w:rFonts w:ascii="Verdana" w:hAnsi="Verdana"/>
          <w:sz w:val="20"/>
          <w:szCs w:val="20"/>
          <w:lang w:val="en-GB"/>
        </w:rPr>
        <w:t xml:space="preserve">, </w:t>
      </w:r>
      <w:r w:rsidR="004A1FB5">
        <w:rPr>
          <w:rFonts w:ascii="Verdana" w:hAnsi="Verdana"/>
          <w:sz w:val="20"/>
          <w:szCs w:val="20"/>
          <w:lang w:val="en-GB"/>
        </w:rPr>
        <w:t>has increased the sector’s interest in emission sources and is expected to lead to more effective trade effluent control.</w:t>
      </w:r>
      <w:r w:rsidR="00E73103">
        <w:rPr>
          <w:rFonts w:ascii="Verdana" w:hAnsi="Verdana"/>
          <w:sz w:val="20"/>
          <w:szCs w:val="20"/>
          <w:lang w:val="en-GB"/>
        </w:rPr>
        <w:t xml:space="preserve"> </w:t>
      </w:r>
      <w:r w:rsidR="00A6547A">
        <w:rPr>
          <w:rFonts w:ascii="Verdana" w:hAnsi="Verdana"/>
          <w:sz w:val="20"/>
          <w:szCs w:val="20"/>
          <w:lang w:val="en-GB"/>
        </w:rPr>
        <w:t xml:space="preserve">The UK CA </w:t>
      </w:r>
      <w:r w:rsidR="00E73103">
        <w:rPr>
          <w:rFonts w:ascii="Verdana" w:hAnsi="Verdana"/>
          <w:sz w:val="20"/>
          <w:szCs w:val="20"/>
          <w:lang w:val="en-GB"/>
        </w:rPr>
        <w:t>note</w:t>
      </w:r>
      <w:r w:rsidR="00A6547A">
        <w:rPr>
          <w:rFonts w:ascii="Verdana" w:hAnsi="Verdana"/>
          <w:sz w:val="20"/>
          <w:szCs w:val="20"/>
          <w:lang w:val="en-GB"/>
        </w:rPr>
        <w:t>s</w:t>
      </w:r>
      <w:r w:rsidR="00E73103">
        <w:rPr>
          <w:rFonts w:ascii="Verdana" w:hAnsi="Verdana"/>
          <w:sz w:val="20"/>
          <w:szCs w:val="20"/>
          <w:lang w:val="en-GB"/>
        </w:rPr>
        <w:t xml:space="preserve">, however, that while PS/PHS permit limits for UK sewerage utilities are risk based, they are determined by consideration of EQS and “no deterioration” in water quality, and do not necessarily seek to minimise releases to the environment.  </w:t>
      </w:r>
      <w:r w:rsidR="00AF3CB0">
        <w:rPr>
          <w:rFonts w:ascii="Verdana" w:hAnsi="Verdana"/>
          <w:sz w:val="20"/>
          <w:szCs w:val="20"/>
          <w:lang w:val="en-GB"/>
        </w:rPr>
        <w:t>Furthermore</w:t>
      </w:r>
      <w:r w:rsidR="009A4A8D">
        <w:rPr>
          <w:rFonts w:ascii="Verdana" w:hAnsi="Verdana"/>
          <w:sz w:val="20"/>
          <w:szCs w:val="20"/>
          <w:lang w:val="en-GB"/>
        </w:rPr>
        <w:t xml:space="preserve">, </w:t>
      </w:r>
      <w:r w:rsidR="00AE6898">
        <w:rPr>
          <w:rFonts w:ascii="Verdana" w:hAnsi="Verdana"/>
          <w:sz w:val="20"/>
          <w:szCs w:val="20"/>
          <w:lang w:val="en-GB"/>
        </w:rPr>
        <w:t xml:space="preserve">there are </w:t>
      </w:r>
      <w:r w:rsidR="009A4A8D">
        <w:rPr>
          <w:rFonts w:ascii="Verdana" w:hAnsi="Verdana"/>
          <w:sz w:val="20"/>
          <w:szCs w:val="20"/>
          <w:lang w:val="en-GB"/>
        </w:rPr>
        <w:t xml:space="preserve">significant </w:t>
      </w:r>
      <w:r w:rsidR="00AE6898">
        <w:rPr>
          <w:rFonts w:ascii="Verdana" w:hAnsi="Verdana"/>
          <w:sz w:val="20"/>
          <w:szCs w:val="20"/>
          <w:lang w:val="en-GB"/>
        </w:rPr>
        <w:t>technical c</w:t>
      </w:r>
      <w:r w:rsidR="009A4A8D">
        <w:rPr>
          <w:rFonts w:ascii="Verdana" w:hAnsi="Verdana"/>
          <w:sz w:val="20"/>
          <w:szCs w:val="20"/>
          <w:lang w:val="en-GB"/>
        </w:rPr>
        <w:t xml:space="preserve">hallenges </w:t>
      </w:r>
      <w:r w:rsidR="00AE6898">
        <w:rPr>
          <w:rFonts w:ascii="Verdana" w:hAnsi="Verdana"/>
          <w:sz w:val="20"/>
          <w:szCs w:val="20"/>
          <w:lang w:val="en-GB"/>
        </w:rPr>
        <w:t>to reliably</w:t>
      </w:r>
      <w:r w:rsidR="009A4A8D">
        <w:rPr>
          <w:rFonts w:ascii="Verdana" w:hAnsi="Verdana"/>
          <w:sz w:val="20"/>
          <w:szCs w:val="20"/>
          <w:lang w:val="en-GB"/>
        </w:rPr>
        <w:t xml:space="preserve"> measuring </w:t>
      </w:r>
      <w:r w:rsidR="000578F2">
        <w:rPr>
          <w:rFonts w:ascii="Verdana" w:hAnsi="Verdana"/>
          <w:sz w:val="20"/>
          <w:szCs w:val="20"/>
          <w:lang w:val="en-GB"/>
        </w:rPr>
        <w:t>MCCPs</w:t>
      </w:r>
      <w:r w:rsidR="009A4A8D">
        <w:rPr>
          <w:rFonts w:ascii="Verdana" w:hAnsi="Verdana"/>
          <w:sz w:val="20"/>
          <w:szCs w:val="20"/>
          <w:lang w:val="en-GB"/>
        </w:rPr>
        <w:t xml:space="preserve"> concentrations in environmental media, arising from the UVCB nature of the substance. </w:t>
      </w:r>
      <w:r>
        <w:rPr>
          <w:rFonts w:ascii="Verdana" w:hAnsi="Verdana"/>
          <w:sz w:val="20"/>
          <w:szCs w:val="20"/>
          <w:lang w:val="en-GB"/>
        </w:rPr>
        <w:t xml:space="preserve">  </w:t>
      </w:r>
    </w:p>
    <w:p w14:paraId="29164030" w14:textId="088EAA30" w:rsidR="00A6547A" w:rsidRDefault="004A1FB5" w:rsidP="000E324D">
      <w:pPr>
        <w:jc w:val="both"/>
        <w:rPr>
          <w:rFonts w:ascii="Verdana" w:hAnsi="Verdana"/>
          <w:sz w:val="20"/>
          <w:szCs w:val="20"/>
          <w:lang w:val="en-GB"/>
        </w:rPr>
      </w:pPr>
      <w:r>
        <w:rPr>
          <w:rFonts w:ascii="Verdana" w:hAnsi="Verdana"/>
          <w:sz w:val="20"/>
          <w:szCs w:val="20"/>
          <w:lang w:val="en-GB"/>
        </w:rPr>
        <w:t xml:space="preserve">PS/PHS permit limits would also potentially apply to direct discharges to water from </w:t>
      </w:r>
      <w:r w:rsidR="00E73103">
        <w:rPr>
          <w:rFonts w:ascii="Verdana" w:hAnsi="Verdana"/>
          <w:sz w:val="20"/>
          <w:szCs w:val="20"/>
          <w:lang w:val="en-GB"/>
        </w:rPr>
        <w:t>industrial sites. However, many larger sites are regulated under the Industrial Emissions Directive (see below), in which case Best Available Technology considerations would apply to releases.</w:t>
      </w:r>
      <w:r w:rsidR="00AE6898">
        <w:rPr>
          <w:rFonts w:ascii="Verdana" w:hAnsi="Verdana"/>
          <w:sz w:val="20"/>
          <w:szCs w:val="20"/>
          <w:lang w:val="en-GB"/>
        </w:rPr>
        <w:t xml:space="preserve"> </w:t>
      </w:r>
      <w:r w:rsidR="00A6547A">
        <w:rPr>
          <w:rFonts w:ascii="Verdana" w:hAnsi="Verdana"/>
          <w:sz w:val="20"/>
          <w:szCs w:val="20"/>
          <w:lang w:val="en-GB"/>
        </w:rPr>
        <w:t>The Directive could</w:t>
      </w:r>
      <w:r w:rsidR="00AE6898">
        <w:rPr>
          <w:rFonts w:ascii="Verdana" w:hAnsi="Verdana"/>
          <w:sz w:val="20"/>
          <w:szCs w:val="20"/>
          <w:lang w:val="en-GB"/>
        </w:rPr>
        <w:t>, however,</w:t>
      </w:r>
      <w:r w:rsidR="00A6547A">
        <w:rPr>
          <w:rFonts w:ascii="Verdana" w:hAnsi="Verdana"/>
          <w:sz w:val="20"/>
          <w:szCs w:val="20"/>
          <w:lang w:val="en-GB"/>
        </w:rPr>
        <w:t xml:space="preserve"> provide some impetus for emission reductions with respect to smaller industrial sites that are out of scope for the Industrial Emissions Directive.</w:t>
      </w:r>
    </w:p>
    <w:p w14:paraId="25ED73A4" w14:textId="00612050" w:rsidR="007F3515" w:rsidRDefault="00A6547A" w:rsidP="00D35A5A">
      <w:pPr>
        <w:spacing w:after="0"/>
        <w:jc w:val="both"/>
        <w:rPr>
          <w:rFonts w:ascii="Verdana" w:hAnsi="Verdana"/>
          <w:sz w:val="20"/>
          <w:szCs w:val="20"/>
          <w:lang w:val="en-GB"/>
        </w:rPr>
      </w:pPr>
      <w:r>
        <w:rPr>
          <w:rFonts w:ascii="Verdana" w:hAnsi="Verdana"/>
          <w:sz w:val="20"/>
          <w:szCs w:val="20"/>
          <w:lang w:val="en-GB"/>
        </w:rPr>
        <w:t>The UK CA</w:t>
      </w:r>
      <w:r w:rsidR="007F3515" w:rsidRPr="007F3515">
        <w:rPr>
          <w:rFonts w:ascii="Verdana" w:hAnsi="Verdana"/>
          <w:sz w:val="20"/>
          <w:szCs w:val="20"/>
          <w:lang w:val="en-GB"/>
        </w:rPr>
        <w:t xml:space="preserve"> conclude</w:t>
      </w:r>
      <w:r>
        <w:rPr>
          <w:rFonts w:ascii="Verdana" w:hAnsi="Verdana"/>
          <w:sz w:val="20"/>
          <w:szCs w:val="20"/>
          <w:lang w:val="en-GB"/>
        </w:rPr>
        <w:t>s</w:t>
      </w:r>
      <w:r w:rsidR="007F3515" w:rsidRPr="007F3515">
        <w:rPr>
          <w:rFonts w:ascii="Verdana" w:hAnsi="Verdana"/>
          <w:sz w:val="20"/>
          <w:szCs w:val="20"/>
          <w:lang w:val="en-GB"/>
        </w:rPr>
        <w:t xml:space="preserve"> that </w:t>
      </w:r>
      <w:r w:rsidR="007F3515">
        <w:rPr>
          <w:rFonts w:ascii="Verdana" w:hAnsi="Verdana"/>
          <w:sz w:val="20"/>
          <w:szCs w:val="20"/>
          <w:lang w:val="en-GB"/>
        </w:rPr>
        <w:t>w</w:t>
      </w:r>
      <w:r w:rsidR="000E324D" w:rsidRPr="001B0749">
        <w:rPr>
          <w:rFonts w:ascii="Verdana" w:hAnsi="Verdana"/>
          <w:sz w:val="20"/>
          <w:szCs w:val="20"/>
          <w:lang w:val="en-GB"/>
        </w:rPr>
        <w:t xml:space="preserve">hilst providing a potential monitoring tool and indirect emission reduction mechanism (with associated costs for EU Member State regulatory authorities and potentially </w:t>
      </w:r>
      <w:r w:rsidR="004A1FB5">
        <w:rPr>
          <w:rFonts w:ascii="Verdana" w:hAnsi="Verdana"/>
          <w:sz w:val="20"/>
          <w:szCs w:val="20"/>
          <w:lang w:val="en-GB"/>
        </w:rPr>
        <w:t>sewage</w:t>
      </w:r>
      <w:r w:rsidR="000E324D" w:rsidRPr="001B0749">
        <w:rPr>
          <w:rFonts w:ascii="Verdana" w:hAnsi="Verdana"/>
          <w:sz w:val="20"/>
          <w:szCs w:val="20"/>
          <w:lang w:val="en-GB"/>
        </w:rPr>
        <w:t xml:space="preserve"> treatment </w:t>
      </w:r>
      <w:r w:rsidR="004A1FB5">
        <w:rPr>
          <w:rFonts w:ascii="Verdana" w:hAnsi="Verdana"/>
          <w:sz w:val="20"/>
          <w:szCs w:val="20"/>
          <w:lang w:val="en-GB"/>
        </w:rPr>
        <w:t>utilities</w:t>
      </w:r>
      <w:r w:rsidR="000E324D" w:rsidRPr="001B0749">
        <w:rPr>
          <w:rFonts w:ascii="Verdana" w:hAnsi="Verdana"/>
          <w:sz w:val="20"/>
          <w:szCs w:val="20"/>
          <w:lang w:val="en-GB"/>
        </w:rPr>
        <w:t xml:space="preserve">), </w:t>
      </w:r>
      <w:r w:rsidR="00E73103">
        <w:rPr>
          <w:rFonts w:ascii="Verdana" w:hAnsi="Verdana"/>
          <w:sz w:val="20"/>
          <w:szCs w:val="20"/>
          <w:lang w:val="en-GB"/>
        </w:rPr>
        <w:t>the WFD</w:t>
      </w:r>
      <w:r w:rsidR="000E324D" w:rsidRPr="001B0749">
        <w:rPr>
          <w:rFonts w:ascii="Verdana" w:hAnsi="Verdana"/>
          <w:sz w:val="20"/>
          <w:szCs w:val="20"/>
          <w:lang w:val="en-GB"/>
        </w:rPr>
        <w:t xml:space="preserve"> seems unlikely to be able to deliver a consistent and harmonised level of emission reduction across Europe within a reasonable time frame. </w:t>
      </w:r>
    </w:p>
    <w:p w14:paraId="39DE09E2" w14:textId="4955A03C" w:rsidR="000E324D" w:rsidRDefault="000E324D">
      <w:pPr>
        <w:spacing w:after="0"/>
        <w:rPr>
          <w:rFonts w:ascii="Verdana" w:hAnsi="Verdana"/>
          <w:b/>
          <w:sz w:val="20"/>
          <w:szCs w:val="20"/>
          <w:lang w:val="en-GB"/>
        </w:rPr>
      </w:pPr>
    </w:p>
    <w:p w14:paraId="162DE677" w14:textId="77777777" w:rsidR="000E324D" w:rsidRPr="001B0749" w:rsidRDefault="000E324D" w:rsidP="000E324D">
      <w:pPr>
        <w:jc w:val="both"/>
        <w:rPr>
          <w:rFonts w:ascii="Verdana" w:hAnsi="Verdana"/>
          <w:sz w:val="20"/>
          <w:szCs w:val="20"/>
          <w:lang w:val="en-GB"/>
        </w:rPr>
      </w:pPr>
      <w:r w:rsidRPr="001B0749">
        <w:rPr>
          <w:rFonts w:ascii="Verdana" w:hAnsi="Verdana"/>
          <w:b/>
          <w:sz w:val="20"/>
          <w:szCs w:val="20"/>
          <w:lang w:val="en-GB"/>
        </w:rPr>
        <w:t>Industrial Emissions Directive (2010/75/EU)</w:t>
      </w:r>
    </w:p>
    <w:p w14:paraId="79EF2204" w14:textId="29214FB7" w:rsidR="000E324D" w:rsidRDefault="000E324D" w:rsidP="000E324D">
      <w:pPr>
        <w:jc w:val="both"/>
        <w:rPr>
          <w:rFonts w:ascii="Verdana" w:hAnsi="Verdana"/>
          <w:sz w:val="20"/>
          <w:szCs w:val="20"/>
          <w:lang w:val="en-GB"/>
        </w:rPr>
      </w:pPr>
      <w:r w:rsidRPr="001B0749">
        <w:rPr>
          <w:rFonts w:ascii="Verdana" w:hAnsi="Verdana"/>
          <w:sz w:val="20"/>
          <w:szCs w:val="20"/>
          <w:lang w:val="en-GB"/>
        </w:rPr>
        <w:t>The Industrial Emissions Directive (IED) requires operators of industrial installations to obtain a permit from the national authorities to continue operating. Permits place a requirement for the use of Best Available Techniques (BAT) to reduce emissions and the impact on the environment as a whole.</w:t>
      </w:r>
    </w:p>
    <w:p w14:paraId="115DC4E0" w14:textId="5BC8D2B2" w:rsidR="007F3515" w:rsidRPr="007F3515" w:rsidRDefault="007F3515" w:rsidP="007F3515">
      <w:pPr>
        <w:jc w:val="both"/>
        <w:rPr>
          <w:rFonts w:ascii="Verdana" w:hAnsi="Verdana"/>
          <w:sz w:val="20"/>
          <w:szCs w:val="20"/>
          <w:lang w:val="en-GB"/>
        </w:rPr>
      </w:pPr>
      <w:r w:rsidRPr="007F3515">
        <w:rPr>
          <w:rFonts w:ascii="Verdana" w:hAnsi="Verdana"/>
          <w:sz w:val="20"/>
          <w:szCs w:val="20"/>
          <w:lang w:val="en-GB"/>
        </w:rPr>
        <w:t>The</w:t>
      </w:r>
      <w:r w:rsidR="006E4E4A">
        <w:rPr>
          <w:rFonts w:ascii="Verdana" w:hAnsi="Verdana"/>
          <w:sz w:val="20"/>
          <w:szCs w:val="20"/>
          <w:lang w:val="en-GB"/>
        </w:rPr>
        <w:t xml:space="preserve"> Directive </w:t>
      </w:r>
      <w:r w:rsidRPr="007F3515">
        <w:rPr>
          <w:rFonts w:ascii="Verdana" w:hAnsi="Verdana"/>
          <w:sz w:val="20"/>
          <w:szCs w:val="20"/>
          <w:lang w:val="en-GB"/>
        </w:rPr>
        <w:t xml:space="preserve">will apply to some sites that use </w:t>
      </w:r>
      <w:r w:rsidR="000578F2">
        <w:rPr>
          <w:rFonts w:ascii="Verdana" w:hAnsi="Verdana"/>
          <w:sz w:val="20"/>
          <w:szCs w:val="20"/>
          <w:lang w:val="en-GB"/>
        </w:rPr>
        <w:t>MCCPs</w:t>
      </w:r>
      <w:r w:rsidR="00607BBD">
        <w:rPr>
          <w:rFonts w:ascii="Verdana" w:hAnsi="Verdana"/>
          <w:sz w:val="20"/>
          <w:szCs w:val="20"/>
          <w:lang w:val="en-GB"/>
        </w:rPr>
        <w:t>,</w:t>
      </w:r>
      <w:r w:rsidRPr="007F3515">
        <w:rPr>
          <w:rFonts w:ascii="Verdana" w:hAnsi="Verdana"/>
          <w:sz w:val="20"/>
          <w:szCs w:val="20"/>
          <w:lang w:val="en-GB"/>
        </w:rPr>
        <w:t xml:space="preserve"> because of the nature and size of the installations. Parts of the life cycle affected include:</w:t>
      </w:r>
    </w:p>
    <w:p w14:paraId="70D75B55" w14:textId="4247E628" w:rsidR="007F3515" w:rsidRPr="006E4E4A" w:rsidRDefault="000578F2" w:rsidP="00943C49">
      <w:pPr>
        <w:pStyle w:val="ListParagraph"/>
        <w:numPr>
          <w:ilvl w:val="0"/>
          <w:numId w:val="18"/>
        </w:numPr>
        <w:jc w:val="both"/>
        <w:rPr>
          <w:rFonts w:ascii="Verdana" w:hAnsi="Verdana"/>
          <w:sz w:val="20"/>
          <w:szCs w:val="20"/>
          <w:lang w:val="en-GB"/>
        </w:rPr>
      </w:pPr>
      <w:r>
        <w:rPr>
          <w:rFonts w:ascii="Verdana" w:hAnsi="Verdana"/>
          <w:sz w:val="20"/>
          <w:szCs w:val="20"/>
          <w:lang w:val="en-GB"/>
        </w:rPr>
        <w:t>MCCPs</w:t>
      </w:r>
      <w:r w:rsidR="00607BBD">
        <w:rPr>
          <w:rFonts w:ascii="Verdana" w:hAnsi="Verdana"/>
          <w:sz w:val="20"/>
          <w:szCs w:val="20"/>
          <w:lang w:val="en-GB"/>
        </w:rPr>
        <w:t xml:space="preserve"> </w:t>
      </w:r>
      <w:r w:rsidR="006E4E4A" w:rsidRPr="006E4E4A">
        <w:rPr>
          <w:rFonts w:ascii="Verdana" w:hAnsi="Verdana"/>
          <w:sz w:val="20"/>
          <w:szCs w:val="20"/>
          <w:lang w:val="en-GB"/>
        </w:rPr>
        <w:t>production</w:t>
      </w:r>
      <w:r w:rsidR="007F3515" w:rsidRPr="006E4E4A">
        <w:rPr>
          <w:rFonts w:ascii="Verdana" w:hAnsi="Verdana"/>
          <w:sz w:val="20"/>
          <w:szCs w:val="20"/>
          <w:lang w:val="en-GB"/>
        </w:rPr>
        <w:t xml:space="preserve">; </w:t>
      </w:r>
    </w:p>
    <w:p w14:paraId="10D7B382" w14:textId="13B5C524" w:rsidR="007F3515" w:rsidRPr="006E4E4A" w:rsidRDefault="007F3515" w:rsidP="00943C49">
      <w:pPr>
        <w:pStyle w:val="ListParagraph"/>
        <w:numPr>
          <w:ilvl w:val="0"/>
          <w:numId w:val="18"/>
        </w:numPr>
        <w:jc w:val="both"/>
        <w:rPr>
          <w:rFonts w:ascii="Verdana" w:hAnsi="Verdana"/>
          <w:sz w:val="20"/>
          <w:szCs w:val="20"/>
          <w:lang w:val="en-GB"/>
        </w:rPr>
      </w:pPr>
      <w:r w:rsidRPr="006E4E4A">
        <w:rPr>
          <w:rFonts w:ascii="Verdana" w:hAnsi="Verdana"/>
          <w:sz w:val="20"/>
          <w:szCs w:val="20"/>
          <w:lang w:val="en-GB"/>
        </w:rPr>
        <w:t xml:space="preserve">Metalworking (only large companies in the ferrous and non-ferrous metals sectors); </w:t>
      </w:r>
    </w:p>
    <w:p w14:paraId="3E0E3DCC" w14:textId="40677B2C" w:rsidR="007F3515" w:rsidRPr="006E4E4A" w:rsidRDefault="007F3515" w:rsidP="00943C49">
      <w:pPr>
        <w:pStyle w:val="ListParagraph"/>
        <w:numPr>
          <w:ilvl w:val="0"/>
          <w:numId w:val="18"/>
        </w:numPr>
        <w:jc w:val="both"/>
        <w:rPr>
          <w:rFonts w:ascii="Verdana" w:hAnsi="Verdana"/>
          <w:sz w:val="20"/>
          <w:szCs w:val="20"/>
          <w:lang w:val="en-GB"/>
        </w:rPr>
      </w:pPr>
      <w:r w:rsidRPr="006E4E4A">
        <w:rPr>
          <w:rFonts w:ascii="Verdana" w:hAnsi="Verdana"/>
          <w:sz w:val="20"/>
          <w:szCs w:val="20"/>
          <w:lang w:val="en-GB"/>
        </w:rPr>
        <w:t xml:space="preserve">PVC and rubber/polymers production (mainly larger installations; does not apply to processing alone); </w:t>
      </w:r>
    </w:p>
    <w:p w14:paraId="43657E18" w14:textId="3E3DAA5D" w:rsidR="007F3515" w:rsidRPr="006E4E4A" w:rsidRDefault="007F3515" w:rsidP="00943C49">
      <w:pPr>
        <w:pStyle w:val="ListParagraph"/>
        <w:numPr>
          <w:ilvl w:val="0"/>
          <w:numId w:val="18"/>
        </w:numPr>
        <w:jc w:val="both"/>
        <w:rPr>
          <w:rFonts w:ascii="Verdana" w:hAnsi="Verdana"/>
          <w:sz w:val="20"/>
          <w:szCs w:val="20"/>
          <w:lang w:val="en-GB"/>
        </w:rPr>
      </w:pPr>
      <w:r w:rsidRPr="006E4E4A">
        <w:rPr>
          <w:rFonts w:ascii="Verdana" w:hAnsi="Verdana"/>
          <w:sz w:val="20"/>
          <w:szCs w:val="20"/>
          <w:lang w:val="en-GB"/>
        </w:rPr>
        <w:t>Paint application (only the largest companies</w:t>
      </w:r>
      <w:r w:rsidR="009A50EF">
        <w:rPr>
          <w:rFonts w:ascii="Verdana" w:hAnsi="Verdana"/>
          <w:sz w:val="20"/>
          <w:szCs w:val="20"/>
          <w:lang w:val="en-GB"/>
        </w:rPr>
        <w:t>)</w:t>
      </w:r>
      <w:r w:rsidR="006E4E4A">
        <w:rPr>
          <w:rFonts w:ascii="Verdana" w:hAnsi="Verdana"/>
          <w:sz w:val="20"/>
          <w:szCs w:val="20"/>
          <w:lang w:val="en-GB"/>
        </w:rPr>
        <w:t>.</w:t>
      </w:r>
    </w:p>
    <w:p w14:paraId="053424FD" w14:textId="3DE46E81" w:rsidR="007F3515" w:rsidRDefault="007F3515" w:rsidP="007F3515">
      <w:pPr>
        <w:jc w:val="both"/>
        <w:rPr>
          <w:rFonts w:ascii="Verdana" w:hAnsi="Verdana"/>
          <w:sz w:val="20"/>
          <w:szCs w:val="20"/>
          <w:lang w:val="en-GB"/>
        </w:rPr>
      </w:pPr>
      <w:r w:rsidRPr="007F3515">
        <w:rPr>
          <w:rFonts w:ascii="Verdana" w:hAnsi="Verdana"/>
          <w:sz w:val="20"/>
          <w:szCs w:val="20"/>
          <w:lang w:val="en-GB"/>
        </w:rPr>
        <w:t>All installations covered by Annex I of the Directive must obtain a permit from the national authorities to continue operating. Permits place a requirement for the use of Best Available Techniques (BAT) to reduce emissions and the impact on the environment as a whole, and must include emission limit values for pollutants, in particular those listed in Annex III to the Directive, likely to be emitted from the installation concerned in significant quantities. In addition, the Directive provides for emission limit values to be established at the Community level. Such emission limits would apply to the categories of installations listed in Annex I to the Directive.</w:t>
      </w:r>
    </w:p>
    <w:p w14:paraId="65F8FBE5" w14:textId="5B557129" w:rsidR="000E324D" w:rsidRPr="001B0749" w:rsidRDefault="000E324D" w:rsidP="000E324D">
      <w:pPr>
        <w:jc w:val="both"/>
        <w:rPr>
          <w:rFonts w:ascii="Verdana" w:hAnsi="Verdana"/>
          <w:sz w:val="20"/>
          <w:szCs w:val="20"/>
          <w:lang w:val="en-GB"/>
        </w:rPr>
      </w:pPr>
      <w:r w:rsidRPr="001B0749">
        <w:rPr>
          <w:rFonts w:ascii="Verdana" w:hAnsi="Verdana"/>
          <w:sz w:val="20"/>
          <w:szCs w:val="20"/>
          <w:lang w:val="en-GB"/>
        </w:rPr>
        <w:t xml:space="preserve">IED has the potential to limit emissions from permitted sites. However, many downstream users, such as </w:t>
      </w:r>
      <w:r w:rsidR="001C5850">
        <w:rPr>
          <w:rFonts w:ascii="Verdana" w:hAnsi="Verdana"/>
          <w:sz w:val="20"/>
          <w:szCs w:val="20"/>
          <w:lang w:val="en-GB"/>
        </w:rPr>
        <w:t xml:space="preserve">professional users of paints, sealants and adhesives, and </w:t>
      </w:r>
      <w:r w:rsidR="006E4E4A">
        <w:rPr>
          <w:rFonts w:ascii="Verdana" w:hAnsi="Verdana"/>
          <w:sz w:val="20"/>
          <w:szCs w:val="20"/>
          <w:lang w:val="en-GB"/>
        </w:rPr>
        <w:t xml:space="preserve">smaller </w:t>
      </w:r>
      <w:r w:rsidR="001C5850">
        <w:rPr>
          <w:rFonts w:ascii="Verdana" w:hAnsi="Verdana"/>
          <w:sz w:val="20"/>
          <w:szCs w:val="20"/>
          <w:lang w:val="en-GB"/>
        </w:rPr>
        <w:t>metalworking sites</w:t>
      </w:r>
      <w:r w:rsidRPr="001B0749">
        <w:rPr>
          <w:rFonts w:ascii="Verdana" w:hAnsi="Verdana"/>
          <w:sz w:val="20"/>
          <w:szCs w:val="20"/>
          <w:lang w:val="en-GB"/>
        </w:rPr>
        <w:t xml:space="preserve">, are unlikely to </w:t>
      </w:r>
      <w:r w:rsidR="00231BA8">
        <w:rPr>
          <w:rFonts w:ascii="Verdana" w:hAnsi="Verdana"/>
          <w:sz w:val="20"/>
          <w:szCs w:val="20"/>
          <w:lang w:val="en-GB"/>
        </w:rPr>
        <w:t>fall under the control of the Directive</w:t>
      </w:r>
      <w:r w:rsidRPr="001B0749">
        <w:rPr>
          <w:rFonts w:ascii="Verdana" w:hAnsi="Verdana"/>
          <w:sz w:val="20"/>
          <w:szCs w:val="20"/>
          <w:lang w:val="en-GB"/>
        </w:rPr>
        <w:t>.  IED only controls part of the lifecycle, and will have no effect on the service life emissions or release from the disposal of articles</w:t>
      </w:r>
      <w:r w:rsidR="00231BA8">
        <w:rPr>
          <w:rFonts w:ascii="Verdana" w:hAnsi="Verdana"/>
          <w:sz w:val="20"/>
          <w:szCs w:val="20"/>
          <w:lang w:val="en-GB"/>
        </w:rPr>
        <w:t xml:space="preserve"> containing </w:t>
      </w:r>
      <w:r w:rsidR="000578F2">
        <w:rPr>
          <w:rFonts w:ascii="Verdana" w:hAnsi="Verdana"/>
          <w:sz w:val="20"/>
          <w:szCs w:val="20"/>
          <w:lang w:val="en-GB"/>
        </w:rPr>
        <w:t>MCCPs</w:t>
      </w:r>
      <w:r w:rsidR="00607BBD">
        <w:rPr>
          <w:rFonts w:ascii="Verdana" w:hAnsi="Verdana"/>
          <w:sz w:val="20"/>
          <w:szCs w:val="20"/>
          <w:lang w:val="en-GB"/>
        </w:rPr>
        <w:t>.</w:t>
      </w:r>
      <w:r w:rsidRPr="001B0749">
        <w:rPr>
          <w:rFonts w:ascii="Verdana" w:hAnsi="Verdana"/>
          <w:sz w:val="20"/>
          <w:szCs w:val="20"/>
          <w:lang w:val="en-GB"/>
        </w:rPr>
        <w:t xml:space="preserve"> </w:t>
      </w:r>
    </w:p>
    <w:p w14:paraId="1BE4778E" w14:textId="5BF2A0B8" w:rsidR="000E324D" w:rsidRPr="001B0749" w:rsidRDefault="000E324D" w:rsidP="000E324D">
      <w:pPr>
        <w:jc w:val="both"/>
        <w:rPr>
          <w:rFonts w:ascii="Verdana" w:hAnsi="Verdana"/>
          <w:b/>
          <w:sz w:val="20"/>
          <w:szCs w:val="20"/>
          <w:lang w:val="en-GB"/>
        </w:rPr>
      </w:pPr>
      <w:r w:rsidRPr="001B0749">
        <w:rPr>
          <w:rFonts w:ascii="Verdana" w:hAnsi="Verdana"/>
          <w:sz w:val="20"/>
          <w:szCs w:val="20"/>
          <w:lang w:val="en-GB"/>
        </w:rPr>
        <w:t xml:space="preserve">On the basis that the provisions of the IED will not apply to all </w:t>
      </w:r>
      <w:r w:rsidR="00231BA8">
        <w:rPr>
          <w:rFonts w:ascii="Verdana" w:hAnsi="Verdana"/>
          <w:sz w:val="20"/>
          <w:szCs w:val="20"/>
          <w:lang w:val="en-GB"/>
        </w:rPr>
        <w:t xml:space="preserve">the </w:t>
      </w:r>
      <w:r w:rsidRPr="001B0749">
        <w:rPr>
          <w:rFonts w:ascii="Verdana" w:hAnsi="Verdana"/>
          <w:sz w:val="20"/>
          <w:szCs w:val="20"/>
          <w:lang w:val="en-GB"/>
        </w:rPr>
        <w:t xml:space="preserve">sites where </w:t>
      </w:r>
      <w:r w:rsidR="000578F2">
        <w:rPr>
          <w:rFonts w:ascii="Verdana" w:hAnsi="Verdana"/>
          <w:sz w:val="20"/>
          <w:szCs w:val="20"/>
          <w:lang w:val="en-GB"/>
        </w:rPr>
        <w:t>MCCPs</w:t>
      </w:r>
      <w:r w:rsidR="00607BBD">
        <w:rPr>
          <w:rFonts w:ascii="Verdana" w:hAnsi="Verdana"/>
          <w:sz w:val="20"/>
          <w:szCs w:val="20"/>
          <w:lang w:val="en-GB"/>
        </w:rPr>
        <w:t xml:space="preserve"> </w:t>
      </w:r>
      <w:r w:rsidRPr="001B0749">
        <w:rPr>
          <w:rFonts w:ascii="Verdana" w:hAnsi="Verdana"/>
          <w:sz w:val="20"/>
          <w:szCs w:val="20"/>
          <w:lang w:val="en-GB"/>
        </w:rPr>
        <w:t xml:space="preserve">may be used, and that the provisions do not apply to key life cycle stages that may create emissions, </w:t>
      </w:r>
      <w:r w:rsidR="00636C12">
        <w:rPr>
          <w:rFonts w:ascii="Verdana" w:hAnsi="Verdana"/>
          <w:sz w:val="20"/>
          <w:szCs w:val="20"/>
          <w:lang w:val="en-GB"/>
        </w:rPr>
        <w:t xml:space="preserve">the UK CA </w:t>
      </w:r>
      <w:r w:rsidR="00231BA8">
        <w:rPr>
          <w:rFonts w:ascii="Verdana" w:hAnsi="Verdana"/>
          <w:sz w:val="20"/>
          <w:szCs w:val="20"/>
          <w:lang w:val="en-GB"/>
        </w:rPr>
        <w:t xml:space="preserve">have </w:t>
      </w:r>
      <w:r w:rsidRPr="001B0749">
        <w:rPr>
          <w:rFonts w:ascii="Verdana" w:hAnsi="Verdana"/>
          <w:sz w:val="20"/>
          <w:szCs w:val="20"/>
          <w:lang w:val="en-GB"/>
        </w:rPr>
        <w:t xml:space="preserve">concluded that the Directive </w:t>
      </w:r>
      <w:r w:rsidR="00231BA8">
        <w:rPr>
          <w:rFonts w:ascii="Verdana" w:hAnsi="Verdana"/>
          <w:sz w:val="20"/>
          <w:szCs w:val="20"/>
          <w:lang w:val="en-GB"/>
        </w:rPr>
        <w:t xml:space="preserve">does not provide sufficient means for </w:t>
      </w:r>
      <w:r w:rsidRPr="001B0749">
        <w:rPr>
          <w:rFonts w:ascii="Verdana" w:hAnsi="Verdana"/>
          <w:sz w:val="20"/>
          <w:szCs w:val="20"/>
          <w:lang w:val="en-GB"/>
        </w:rPr>
        <w:t xml:space="preserve">minimising all environmental emissions </w:t>
      </w:r>
      <w:r w:rsidR="00231BA8">
        <w:rPr>
          <w:rFonts w:ascii="Verdana" w:hAnsi="Verdana"/>
          <w:sz w:val="20"/>
          <w:szCs w:val="20"/>
          <w:lang w:val="en-GB"/>
        </w:rPr>
        <w:t xml:space="preserve">of </w:t>
      </w:r>
      <w:r w:rsidR="000578F2">
        <w:rPr>
          <w:rFonts w:ascii="Verdana" w:hAnsi="Verdana"/>
          <w:sz w:val="20"/>
          <w:szCs w:val="20"/>
          <w:lang w:val="en-GB"/>
        </w:rPr>
        <w:t>MCCPs</w:t>
      </w:r>
      <w:r w:rsidR="00607BBD">
        <w:rPr>
          <w:rFonts w:ascii="Verdana" w:hAnsi="Verdana"/>
          <w:sz w:val="20"/>
          <w:szCs w:val="20"/>
          <w:lang w:val="en-GB"/>
        </w:rPr>
        <w:t>.</w:t>
      </w:r>
      <w:r w:rsidRPr="001B0749">
        <w:rPr>
          <w:rFonts w:ascii="Verdana" w:hAnsi="Verdana"/>
          <w:sz w:val="20"/>
          <w:szCs w:val="20"/>
          <w:lang w:val="en-GB"/>
        </w:rPr>
        <w:t xml:space="preserve"> </w:t>
      </w:r>
    </w:p>
    <w:p w14:paraId="3ABE95CE" w14:textId="77777777" w:rsidR="00861D95" w:rsidRDefault="00861D95">
      <w:pPr>
        <w:spacing w:after="0"/>
        <w:rPr>
          <w:rFonts w:ascii="Verdana" w:hAnsi="Verdana"/>
          <w:b/>
          <w:sz w:val="20"/>
          <w:szCs w:val="20"/>
          <w:lang w:val="en-GB"/>
        </w:rPr>
      </w:pPr>
      <w:r>
        <w:rPr>
          <w:rFonts w:ascii="Verdana" w:hAnsi="Verdana"/>
          <w:b/>
          <w:sz w:val="20"/>
          <w:szCs w:val="20"/>
          <w:lang w:val="en-GB"/>
        </w:rPr>
        <w:br w:type="page"/>
      </w:r>
    </w:p>
    <w:p w14:paraId="26CB43A0" w14:textId="2979A513" w:rsidR="000E324D" w:rsidRPr="001B0749" w:rsidRDefault="000E324D" w:rsidP="000E324D">
      <w:pPr>
        <w:jc w:val="both"/>
        <w:rPr>
          <w:rFonts w:ascii="Verdana" w:hAnsi="Verdana"/>
          <w:color w:val="000000"/>
          <w:sz w:val="20"/>
          <w:szCs w:val="20"/>
          <w:lang w:val="en-GB"/>
        </w:rPr>
      </w:pPr>
      <w:r w:rsidRPr="001B0749">
        <w:rPr>
          <w:rFonts w:ascii="Verdana" w:hAnsi="Verdana"/>
          <w:b/>
          <w:sz w:val="20"/>
          <w:szCs w:val="20"/>
          <w:lang w:val="en-GB"/>
        </w:rPr>
        <w:lastRenderedPageBreak/>
        <w:t xml:space="preserve">Waste Framework Directive </w:t>
      </w:r>
      <w:r w:rsidRPr="001B0749">
        <w:rPr>
          <w:rFonts w:ascii="Verdana" w:hAnsi="Verdana"/>
          <w:b/>
          <w:color w:val="000000"/>
          <w:sz w:val="20"/>
          <w:szCs w:val="20"/>
          <w:lang w:val="en-GB"/>
        </w:rPr>
        <w:t xml:space="preserve">(2008/98/EC) </w:t>
      </w:r>
    </w:p>
    <w:p w14:paraId="3A021B8D" w14:textId="77777777" w:rsidR="00053C51" w:rsidRDefault="000E324D" w:rsidP="000E324D">
      <w:pPr>
        <w:jc w:val="both"/>
        <w:rPr>
          <w:rFonts w:ascii="Verdana" w:hAnsi="Verdana"/>
          <w:color w:val="000000"/>
          <w:sz w:val="20"/>
          <w:szCs w:val="20"/>
          <w:lang w:val="en-GB"/>
        </w:rPr>
      </w:pPr>
      <w:r w:rsidRPr="001B0749">
        <w:rPr>
          <w:rFonts w:ascii="Verdana" w:hAnsi="Verdana"/>
          <w:color w:val="000000"/>
          <w:sz w:val="20"/>
          <w:szCs w:val="20"/>
          <w:lang w:val="en-GB"/>
        </w:rPr>
        <w:t xml:space="preserve">This </w:t>
      </w:r>
      <w:r w:rsidR="004259F2">
        <w:rPr>
          <w:rFonts w:ascii="Verdana" w:hAnsi="Verdana"/>
          <w:color w:val="000000"/>
          <w:sz w:val="20"/>
          <w:szCs w:val="20"/>
          <w:lang w:val="en-GB"/>
        </w:rPr>
        <w:t xml:space="preserve">directive </w:t>
      </w:r>
      <w:r w:rsidRPr="001B0749">
        <w:rPr>
          <w:rFonts w:ascii="Verdana" w:hAnsi="Verdana"/>
          <w:color w:val="000000"/>
          <w:sz w:val="20"/>
          <w:szCs w:val="20"/>
          <w:lang w:val="en-GB"/>
        </w:rPr>
        <w:t xml:space="preserve">sets out basic requirements for the management of defined wastes using a hierarchy approach to ensure recovery or disposal without risk to water, air, soil, plants or animals. Costs are borne by the waste producer or waste holder. </w:t>
      </w:r>
    </w:p>
    <w:p w14:paraId="3F5C83B4" w14:textId="060C90BC" w:rsidR="00053C51" w:rsidRDefault="003A4DC9" w:rsidP="000E324D">
      <w:pPr>
        <w:jc w:val="both"/>
        <w:rPr>
          <w:rFonts w:ascii="Verdana" w:hAnsi="Verdana"/>
          <w:color w:val="000000"/>
          <w:sz w:val="20"/>
          <w:szCs w:val="20"/>
          <w:lang w:val="en-GB"/>
        </w:rPr>
      </w:pPr>
      <w:r w:rsidRPr="003A4DC9">
        <w:rPr>
          <w:rFonts w:ascii="Verdana" w:hAnsi="Verdana"/>
          <w:color w:val="000000"/>
          <w:sz w:val="20"/>
          <w:szCs w:val="20"/>
          <w:lang w:val="en-GB"/>
        </w:rPr>
        <w:t xml:space="preserve">Since </w:t>
      </w:r>
      <w:r w:rsidR="000578F2">
        <w:rPr>
          <w:rFonts w:ascii="Verdana" w:hAnsi="Verdana"/>
          <w:color w:val="000000"/>
          <w:sz w:val="20"/>
          <w:szCs w:val="20"/>
          <w:lang w:val="en-GB"/>
        </w:rPr>
        <w:t>MCCPs</w:t>
      </w:r>
      <w:r w:rsidRPr="003A4DC9">
        <w:rPr>
          <w:rFonts w:ascii="Verdana" w:hAnsi="Verdana"/>
          <w:color w:val="000000"/>
          <w:sz w:val="20"/>
          <w:szCs w:val="20"/>
          <w:lang w:val="en-GB"/>
        </w:rPr>
        <w:t xml:space="preserve"> </w:t>
      </w:r>
      <w:r w:rsidR="008F1DA4">
        <w:rPr>
          <w:rFonts w:ascii="Verdana" w:hAnsi="Verdana"/>
          <w:color w:val="000000"/>
          <w:sz w:val="20"/>
          <w:szCs w:val="20"/>
          <w:lang w:val="en-GB"/>
        </w:rPr>
        <w:t>is</w:t>
      </w:r>
      <w:r w:rsidRPr="003A4DC9">
        <w:rPr>
          <w:rFonts w:ascii="Verdana" w:hAnsi="Verdana"/>
          <w:color w:val="000000"/>
          <w:sz w:val="20"/>
          <w:szCs w:val="20"/>
          <w:lang w:val="en-GB"/>
        </w:rPr>
        <w:t xml:space="preserve"> classified as Aquatic Acute 1 (H400)</w:t>
      </w:r>
      <w:r w:rsidR="00A6547A">
        <w:rPr>
          <w:rFonts w:ascii="Verdana" w:hAnsi="Verdana"/>
          <w:color w:val="000000"/>
          <w:sz w:val="20"/>
          <w:szCs w:val="20"/>
          <w:lang w:val="en-GB"/>
        </w:rPr>
        <w:t xml:space="preserve"> and</w:t>
      </w:r>
      <w:r w:rsidRPr="003A4DC9">
        <w:rPr>
          <w:rFonts w:ascii="Verdana" w:hAnsi="Verdana"/>
          <w:color w:val="000000"/>
          <w:sz w:val="20"/>
          <w:szCs w:val="20"/>
          <w:lang w:val="en-GB"/>
        </w:rPr>
        <w:t xml:space="preserve"> Aquatic Chronic 1 (H401),  any waste mixture containing it at a concentration above 0.25% w/w would be considered to be hazardous waste. </w:t>
      </w:r>
      <w:r w:rsidR="008F1DA4">
        <w:rPr>
          <w:rFonts w:ascii="Verdana" w:hAnsi="Verdana"/>
          <w:color w:val="000000"/>
          <w:sz w:val="20"/>
          <w:szCs w:val="20"/>
          <w:lang w:val="en-GB"/>
        </w:rPr>
        <w:t>W</w:t>
      </w:r>
      <w:r w:rsidRPr="003A4DC9">
        <w:rPr>
          <w:rFonts w:ascii="Verdana" w:hAnsi="Verdana"/>
          <w:color w:val="000000"/>
          <w:sz w:val="20"/>
          <w:szCs w:val="20"/>
          <w:lang w:val="en-GB"/>
        </w:rPr>
        <w:t>aste oils (such as some types of metal working fluid) must be collected separately (where technically feasible) and Member States may, according to national conditions, apply additional measures such as technical requirements, producer responsibility, economic instruments or voluntary agreements. Waste treatment facilities must obtain permits from the relevant competent authority, which specify technical and other requirements for each type of operation permitted, as well as the safety and precautionary measures to be taken (with monitoring conditions where necessary). Waste management plans must be produced by Member States, which may include economic and other instruments in tackling various waste problems, and awareness campaigns directed at specific sets of consumers. There are no provisions within this directive for information gathering.</w:t>
      </w:r>
    </w:p>
    <w:p w14:paraId="72B337E2" w14:textId="2B192044" w:rsidR="00884EDB" w:rsidRPr="008F12D2" w:rsidRDefault="008F12D2" w:rsidP="000E324D">
      <w:pPr>
        <w:spacing w:after="0"/>
        <w:rPr>
          <w:rFonts w:ascii="Verdana" w:hAnsi="Verdana"/>
          <w:color w:val="000000"/>
          <w:sz w:val="20"/>
          <w:szCs w:val="20"/>
          <w:lang w:val="en-GB"/>
        </w:rPr>
      </w:pPr>
      <w:r w:rsidRPr="008F12D2">
        <w:rPr>
          <w:rFonts w:ascii="Verdana" w:hAnsi="Verdana"/>
          <w:color w:val="000000"/>
          <w:sz w:val="20"/>
          <w:szCs w:val="20"/>
          <w:lang w:val="en-GB"/>
        </w:rPr>
        <w:t>The UK</w:t>
      </w:r>
      <w:r w:rsidR="00C1767B">
        <w:rPr>
          <w:rFonts w:ascii="Verdana" w:hAnsi="Verdana"/>
          <w:color w:val="000000"/>
          <w:sz w:val="20"/>
          <w:szCs w:val="20"/>
          <w:lang w:val="en-GB"/>
        </w:rPr>
        <w:t xml:space="preserve"> </w:t>
      </w:r>
      <w:r w:rsidRPr="008F12D2">
        <w:rPr>
          <w:rFonts w:ascii="Verdana" w:hAnsi="Verdana"/>
          <w:color w:val="000000"/>
          <w:sz w:val="20"/>
          <w:szCs w:val="20"/>
          <w:lang w:val="en-GB"/>
        </w:rPr>
        <w:t xml:space="preserve">CA </w:t>
      </w:r>
      <w:r>
        <w:rPr>
          <w:rFonts w:ascii="Verdana" w:hAnsi="Verdana"/>
          <w:color w:val="000000"/>
          <w:sz w:val="20"/>
          <w:szCs w:val="20"/>
          <w:lang w:val="en-GB"/>
        </w:rPr>
        <w:t xml:space="preserve">has concluded that this Directive would not be effective in minimising </w:t>
      </w:r>
      <w:r w:rsidR="000578F2">
        <w:rPr>
          <w:rFonts w:ascii="Verdana" w:hAnsi="Verdana"/>
          <w:color w:val="000000"/>
          <w:sz w:val="20"/>
          <w:szCs w:val="20"/>
          <w:lang w:val="en-GB"/>
        </w:rPr>
        <w:t>MCCPs</w:t>
      </w:r>
      <w:r>
        <w:rPr>
          <w:rFonts w:ascii="Verdana" w:hAnsi="Verdana"/>
          <w:color w:val="000000"/>
          <w:sz w:val="20"/>
          <w:szCs w:val="20"/>
          <w:lang w:val="en-GB"/>
        </w:rPr>
        <w:t xml:space="preserve"> emissions and environmental exposure, although it could reduce exposure from certain waste streams – particularly from metal working plants. </w:t>
      </w:r>
    </w:p>
    <w:p w14:paraId="48A0FC78" w14:textId="77777777" w:rsidR="000E324D" w:rsidRDefault="000E324D" w:rsidP="000E324D">
      <w:pPr>
        <w:tabs>
          <w:tab w:val="center" w:pos="4156"/>
        </w:tabs>
        <w:spacing w:after="0"/>
        <w:rPr>
          <w:rFonts w:ascii="Verdana" w:hAnsi="Verdana"/>
          <w:b/>
          <w:sz w:val="20"/>
          <w:szCs w:val="20"/>
          <w:lang w:val="en-GB"/>
        </w:rPr>
      </w:pPr>
    </w:p>
    <w:p w14:paraId="6D079501" w14:textId="77777777" w:rsidR="000E324D" w:rsidRPr="001B0749" w:rsidRDefault="000E324D" w:rsidP="000E324D">
      <w:pPr>
        <w:jc w:val="both"/>
        <w:rPr>
          <w:rFonts w:ascii="Verdana" w:hAnsi="Verdana"/>
          <w:b/>
          <w:sz w:val="20"/>
          <w:szCs w:val="20"/>
          <w:lang w:val="en-GB"/>
        </w:rPr>
      </w:pPr>
      <w:r w:rsidRPr="001B0749">
        <w:rPr>
          <w:rFonts w:ascii="Verdana" w:hAnsi="Verdana"/>
          <w:b/>
          <w:sz w:val="20"/>
          <w:szCs w:val="20"/>
          <w:lang w:val="en-GB"/>
        </w:rPr>
        <w:t>Voluntary actions</w:t>
      </w:r>
    </w:p>
    <w:p w14:paraId="56EC2D6A" w14:textId="7DF78B5E" w:rsidR="000E324D" w:rsidRPr="001B0749" w:rsidRDefault="000E324D" w:rsidP="000E324D">
      <w:pPr>
        <w:jc w:val="both"/>
        <w:rPr>
          <w:rFonts w:ascii="Verdana" w:hAnsi="Verdana"/>
          <w:sz w:val="20"/>
          <w:szCs w:val="20"/>
          <w:lang w:val="en-GB"/>
        </w:rPr>
      </w:pPr>
      <w:r w:rsidRPr="001B0749">
        <w:rPr>
          <w:rFonts w:ascii="Verdana" w:hAnsi="Verdana"/>
          <w:sz w:val="20"/>
          <w:szCs w:val="20"/>
          <w:lang w:val="en-GB"/>
        </w:rPr>
        <w:t>Voluntary initiatives could be introduced</w:t>
      </w:r>
      <w:r w:rsidR="008F1DA4">
        <w:rPr>
          <w:rFonts w:ascii="Verdana" w:hAnsi="Verdana"/>
          <w:sz w:val="20"/>
          <w:szCs w:val="20"/>
          <w:lang w:val="en-GB"/>
        </w:rPr>
        <w:t xml:space="preserve"> by Industry</w:t>
      </w:r>
      <w:r w:rsidRPr="001B0749">
        <w:rPr>
          <w:rFonts w:ascii="Verdana" w:hAnsi="Verdana"/>
          <w:sz w:val="20"/>
          <w:szCs w:val="20"/>
          <w:lang w:val="en-GB"/>
        </w:rPr>
        <w:t xml:space="preserve"> to</w:t>
      </w:r>
      <w:r>
        <w:rPr>
          <w:rFonts w:ascii="Verdana" w:hAnsi="Verdana"/>
          <w:sz w:val="20"/>
          <w:szCs w:val="20"/>
          <w:lang w:val="en-GB"/>
        </w:rPr>
        <w:t xml:space="preserve"> r</w:t>
      </w:r>
      <w:r w:rsidRPr="001B0749">
        <w:rPr>
          <w:rFonts w:ascii="Verdana" w:hAnsi="Verdana"/>
          <w:sz w:val="20"/>
          <w:szCs w:val="20"/>
          <w:lang w:val="en-GB"/>
        </w:rPr>
        <w:t xml:space="preserve">aise awareness of </w:t>
      </w:r>
      <w:r w:rsidR="000578F2">
        <w:rPr>
          <w:rFonts w:ascii="Verdana" w:hAnsi="Verdana"/>
          <w:sz w:val="20"/>
          <w:szCs w:val="20"/>
          <w:lang w:val="en-GB"/>
        </w:rPr>
        <w:t>MCCPs</w:t>
      </w:r>
      <w:r w:rsidR="00607BBD">
        <w:rPr>
          <w:rFonts w:ascii="Verdana" w:hAnsi="Verdana"/>
          <w:sz w:val="20"/>
          <w:szCs w:val="20"/>
          <w:lang w:val="en-GB"/>
        </w:rPr>
        <w:t xml:space="preserve"> </w:t>
      </w:r>
      <w:r w:rsidRPr="001B0749">
        <w:rPr>
          <w:rFonts w:ascii="Verdana" w:hAnsi="Verdana"/>
          <w:sz w:val="20"/>
          <w:szCs w:val="20"/>
          <w:lang w:val="en-GB"/>
        </w:rPr>
        <w:t xml:space="preserve">and its </w:t>
      </w:r>
      <w:r w:rsidR="00B92146">
        <w:rPr>
          <w:rFonts w:ascii="Verdana" w:hAnsi="Verdana"/>
          <w:sz w:val="20"/>
          <w:szCs w:val="20"/>
          <w:lang w:val="en-GB"/>
        </w:rPr>
        <w:t xml:space="preserve">hazardous </w:t>
      </w:r>
      <w:r w:rsidRPr="001B0749">
        <w:rPr>
          <w:rFonts w:ascii="Verdana" w:hAnsi="Verdana"/>
          <w:sz w:val="20"/>
          <w:szCs w:val="20"/>
          <w:lang w:val="en-GB"/>
        </w:rPr>
        <w:t>properties</w:t>
      </w:r>
      <w:r w:rsidR="008F1DA4">
        <w:rPr>
          <w:rFonts w:ascii="Verdana" w:hAnsi="Verdana"/>
          <w:sz w:val="20"/>
          <w:szCs w:val="20"/>
          <w:lang w:val="en-GB"/>
        </w:rPr>
        <w:t xml:space="preserve">, </w:t>
      </w:r>
      <w:r w:rsidR="0063078D">
        <w:rPr>
          <w:rFonts w:ascii="Verdana" w:hAnsi="Verdana"/>
          <w:sz w:val="20"/>
          <w:szCs w:val="20"/>
          <w:lang w:val="en-GB"/>
        </w:rPr>
        <w:t xml:space="preserve">encourage </w:t>
      </w:r>
      <w:r w:rsidR="008F12D2">
        <w:rPr>
          <w:rFonts w:ascii="Verdana" w:hAnsi="Verdana"/>
          <w:sz w:val="20"/>
          <w:szCs w:val="20"/>
          <w:lang w:val="en-GB"/>
        </w:rPr>
        <w:t>migration to</w:t>
      </w:r>
      <w:r w:rsidR="0063078D">
        <w:rPr>
          <w:rFonts w:ascii="Verdana" w:hAnsi="Verdana"/>
          <w:sz w:val="20"/>
          <w:szCs w:val="20"/>
          <w:lang w:val="en-GB"/>
        </w:rPr>
        <w:t xml:space="preserve"> alternative products and practices, and increase collection,</w:t>
      </w:r>
      <w:r w:rsidR="008F12D2">
        <w:rPr>
          <w:rFonts w:ascii="Verdana" w:hAnsi="Verdana"/>
          <w:sz w:val="20"/>
          <w:szCs w:val="20"/>
          <w:lang w:val="en-GB"/>
        </w:rPr>
        <w:t xml:space="preserve"> </w:t>
      </w:r>
      <w:r w:rsidR="0063078D">
        <w:rPr>
          <w:rFonts w:ascii="Verdana" w:hAnsi="Verdana"/>
          <w:sz w:val="20"/>
          <w:szCs w:val="20"/>
          <w:lang w:val="en-GB"/>
        </w:rPr>
        <w:t>reuse and recycling of materials</w:t>
      </w:r>
      <w:r w:rsidR="008F12D2">
        <w:rPr>
          <w:rFonts w:ascii="Verdana" w:hAnsi="Verdana"/>
          <w:sz w:val="20"/>
          <w:szCs w:val="20"/>
          <w:lang w:val="en-GB"/>
        </w:rPr>
        <w:t xml:space="preserve"> where this represents the best practicable environmental option</w:t>
      </w:r>
      <w:r>
        <w:rPr>
          <w:rFonts w:ascii="Verdana" w:hAnsi="Verdana"/>
          <w:sz w:val="20"/>
          <w:szCs w:val="20"/>
          <w:lang w:val="en-GB"/>
        </w:rPr>
        <w:t xml:space="preserve">. </w:t>
      </w:r>
      <w:r w:rsidR="0063078D">
        <w:rPr>
          <w:rFonts w:ascii="Verdana" w:hAnsi="Verdana"/>
          <w:sz w:val="20"/>
          <w:szCs w:val="20"/>
          <w:lang w:val="en-GB"/>
        </w:rPr>
        <w:t>C</w:t>
      </w:r>
      <w:r>
        <w:rPr>
          <w:rFonts w:ascii="Verdana" w:hAnsi="Verdana"/>
          <w:sz w:val="20"/>
          <w:szCs w:val="20"/>
          <w:lang w:val="en-GB"/>
        </w:rPr>
        <w:t>ompanies could:</w:t>
      </w:r>
    </w:p>
    <w:p w14:paraId="3D9724A2" w14:textId="77777777" w:rsidR="000E324D" w:rsidRPr="001B0749" w:rsidRDefault="000E324D" w:rsidP="00943C49">
      <w:pPr>
        <w:pStyle w:val="ListParagraph"/>
        <w:numPr>
          <w:ilvl w:val="0"/>
          <w:numId w:val="11"/>
        </w:numPr>
        <w:spacing w:after="0"/>
        <w:jc w:val="both"/>
        <w:rPr>
          <w:rFonts w:ascii="Verdana" w:hAnsi="Verdana"/>
          <w:sz w:val="20"/>
          <w:szCs w:val="20"/>
          <w:lang w:val="en-GB"/>
        </w:rPr>
      </w:pPr>
      <w:r w:rsidRPr="001B0749">
        <w:rPr>
          <w:rFonts w:ascii="Verdana" w:hAnsi="Verdana"/>
          <w:sz w:val="20"/>
          <w:szCs w:val="20"/>
          <w:lang w:val="en-GB"/>
        </w:rPr>
        <w:t>Communicate measures to reduce emissions to the environment throughout the whole supply chain without regulatory controls.</w:t>
      </w:r>
    </w:p>
    <w:p w14:paraId="6A652E9E" w14:textId="7BE78814" w:rsidR="000E324D" w:rsidRPr="001B0749" w:rsidRDefault="000E324D" w:rsidP="00943C49">
      <w:pPr>
        <w:pStyle w:val="ListParagraph"/>
        <w:numPr>
          <w:ilvl w:val="0"/>
          <w:numId w:val="11"/>
        </w:numPr>
        <w:spacing w:after="0"/>
        <w:jc w:val="both"/>
        <w:rPr>
          <w:rFonts w:ascii="Verdana" w:hAnsi="Verdana"/>
          <w:sz w:val="20"/>
          <w:szCs w:val="20"/>
          <w:lang w:val="en-GB"/>
        </w:rPr>
      </w:pPr>
      <w:r w:rsidRPr="001B0749">
        <w:rPr>
          <w:rFonts w:ascii="Verdana" w:hAnsi="Verdana"/>
          <w:sz w:val="20"/>
          <w:szCs w:val="20"/>
          <w:lang w:val="en-GB"/>
        </w:rPr>
        <w:t xml:space="preserve">Participate </w:t>
      </w:r>
      <w:r w:rsidR="00B92146">
        <w:rPr>
          <w:rFonts w:ascii="Verdana" w:hAnsi="Verdana"/>
          <w:sz w:val="20"/>
          <w:szCs w:val="20"/>
          <w:lang w:val="en-GB"/>
        </w:rPr>
        <w:t xml:space="preserve">in, </w:t>
      </w:r>
      <w:r w:rsidRPr="001B0749">
        <w:rPr>
          <w:rFonts w:ascii="Verdana" w:hAnsi="Verdana"/>
          <w:sz w:val="20"/>
          <w:szCs w:val="20"/>
          <w:lang w:val="en-GB"/>
        </w:rPr>
        <w:t>and facilitate</w:t>
      </w:r>
      <w:r w:rsidR="00B92146">
        <w:rPr>
          <w:rFonts w:ascii="Verdana" w:hAnsi="Verdana"/>
          <w:sz w:val="20"/>
          <w:szCs w:val="20"/>
          <w:lang w:val="en-GB"/>
        </w:rPr>
        <w:t>,</w:t>
      </w:r>
      <w:r w:rsidRPr="001B0749">
        <w:rPr>
          <w:rFonts w:ascii="Verdana" w:hAnsi="Verdana"/>
          <w:sz w:val="20"/>
          <w:szCs w:val="20"/>
          <w:lang w:val="en-GB"/>
        </w:rPr>
        <w:t xml:space="preserve"> engagement with interested parties, including stakeholders and regulators.</w:t>
      </w:r>
    </w:p>
    <w:p w14:paraId="46BA6673" w14:textId="77777777" w:rsidR="000E324D" w:rsidRPr="001B0749" w:rsidRDefault="000E324D" w:rsidP="000E324D">
      <w:pPr>
        <w:spacing w:after="0"/>
        <w:jc w:val="both"/>
        <w:rPr>
          <w:rFonts w:ascii="Verdana" w:hAnsi="Verdana"/>
          <w:sz w:val="20"/>
          <w:szCs w:val="20"/>
          <w:lang w:val="en-GB"/>
        </w:rPr>
      </w:pPr>
    </w:p>
    <w:p w14:paraId="22E36564" w14:textId="08AB27DE" w:rsidR="000E324D" w:rsidRPr="001B0749" w:rsidRDefault="000E324D" w:rsidP="000E324D">
      <w:pPr>
        <w:spacing w:after="0"/>
        <w:jc w:val="both"/>
        <w:rPr>
          <w:rFonts w:ascii="Verdana" w:hAnsi="Verdana"/>
          <w:sz w:val="20"/>
          <w:szCs w:val="20"/>
          <w:lang w:val="en-GB"/>
        </w:rPr>
      </w:pPr>
      <w:r w:rsidRPr="001B0749">
        <w:rPr>
          <w:rFonts w:ascii="Verdana" w:hAnsi="Verdana"/>
          <w:sz w:val="20"/>
          <w:szCs w:val="20"/>
          <w:lang w:val="en-GB"/>
        </w:rPr>
        <w:t>A programme similar to the Voluntary Emissions Control Action Programme (VECAP) (</w:t>
      </w:r>
      <w:hyperlink r:id="rId27" w:history="1">
        <w:r w:rsidRPr="001B0749">
          <w:rPr>
            <w:rStyle w:val="Hyperlink"/>
            <w:rFonts w:ascii="Verdana" w:hAnsi="Verdana"/>
            <w:szCs w:val="20"/>
            <w:lang w:val="en-GB"/>
          </w:rPr>
          <w:t>http://www.vecap.info/</w:t>
        </w:r>
      </w:hyperlink>
      <w:r w:rsidRPr="001B0749">
        <w:rPr>
          <w:rFonts w:ascii="Verdana" w:hAnsi="Verdana"/>
          <w:sz w:val="20"/>
          <w:szCs w:val="20"/>
          <w:lang w:val="en-GB"/>
        </w:rPr>
        <w:t>) could be adopted. The VECAP was developed and implemented by manufacturers</w:t>
      </w:r>
      <w:r w:rsidR="008F12D2">
        <w:rPr>
          <w:rFonts w:ascii="Verdana" w:hAnsi="Verdana"/>
          <w:sz w:val="20"/>
          <w:szCs w:val="20"/>
          <w:lang w:val="en-GB"/>
        </w:rPr>
        <w:t xml:space="preserve"> and </w:t>
      </w:r>
      <w:r w:rsidRPr="001B0749">
        <w:rPr>
          <w:rFonts w:ascii="Verdana" w:hAnsi="Verdana"/>
          <w:sz w:val="20"/>
          <w:szCs w:val="20"/>
          <w:lang w:val="en-GB"/>
        </w:rPr>
        <w:t>users of several brominated flame retardants</w:t>
      </w:r>
      <w:r w:rsidR="00B92146">
        <w:rPr>
          <w:rFonts w:ascii="Verdana" w:hAnsi="Verdana"/>
          <w:sz w:val="20"/>
          <w:szCs w:val="20"/>
          <w:lang w:val="en-GB"/>
        </w:rPr>
        <w:t>.</w:t>
      </w:r>
      <w:r w:rsidRPr="001B0749">
        <w:rPr>
          <w:rFonts w:ascii="Verdana" w:hAnsi="Verdana"/>
          <w:sz w:val="20"/>
          <w:szCs w:val="20"/>
          <w:lang w:val="en-GB"/>
        </w:rPr>
        <w:t xml:space="preserve"> The VECAP demonstrates that industry is willing to take responsibility for the management of flame retardants at the production and product manufacturing stage in an auditable way. It provides support and guidelines to participating companies on how to control and reduce potential emissions of flame retardants to the environment. VECAP is committed to continuous improvement, reviewing what happens in practice each year through a survey, and encouraging users to adopt the industry’s Code of Good Practice and the Best Available Techniques (BAT). </w:t>
      </w:r>
    </w:p>
    <w:p w14:paraId="08B56D52" w14:textId="77777777" w:rsidR="000E324D" w:rsidRPr="001B0749" w:rsidRDefault="000E324D" w:rsidP="000E324D">
      <w:pPr>
        <w:pStyle w:val="CommentText"/>
        <w:spacing w:after="0"/>
        <w:jc w:val="both"/>
        <w:rPr>
          <w:rFonts w:ascii="Verdana" w:hAnsi="Verdana"/>
          <w:lang w:val="en-GB"/>
        </w:rPr>
      </w:pPr>
    </w:p>
    <w:p w14:paraId="4DEB617C" w14:textId="1CAA9DF8" w:rsidR="000E324D" w:rsidRPr="001B0749" w:rsidRDefault="000E324D" w:rsidP="000E324D">
      <w:pPr>
        <w:pStyle w:val="CommentText"/>
        <w:spacing w:after="0"/>
        <w:jc w:val="both"/>
        <w:rPr>
          <w:rFonts w:ascii="Verdana" w:hAnsi="Verdana"/>
          <w:lang w:val="en-GB"/>
        </w:rPr>
      </w:pPr>
      <w:r w:rsidRPr="001B0749">
        <w:rPr>
          <w:rFonts w:ascii="Verdana" w:hAnsi="Verdana"/>
          <w:lang w:val="en-GB"/>
        </w:rPr>
        <w:t xml:space="preserve">If a similar voluntary initiative were put in place for </w:t>
      </w:r>
      <w:r w:rsidR="000578F2">
        <w:rPr>
          <w:rFonts w:ascii="Verdana" w:hAnsi="Verdana"/>
          <w:lang w:val="en-GB"/>
        </w:rPr>
        <w:t>MCCPs</w:t>
      </w:r>
      <w:r w:rsidR="00607BBD">
        <w:rPr>
          <w:rFonts w:ascii="Verdana" w:hAnsi="Verdana"/>
          <w:lang w:val="en-GB"/>
        </w:rPr>
        <w:t>,</w:t>
      </w:r>
      <w:r w:rsidRPr="001B0749">
        <w:rPr>
          <w:rFonts w:ascii="Verdana" w:hAnsi="Verdana"/>
          <w:lang w:val="en-GB"/>
        </w:rPr>
        <w:t xml:space="preserve"> </w:t>
      </w:r>
      <w:r w:rsidR="00E04CDB">
        <w:rPr>
          <w:rFonts w:ascii="Verdana" w:hAnsi="Verdana"/>
          <w:lang w:val="en-GB"/>
        </w:rPr>
        <w:t xml:space="preserve">some reduction in </w:t>
      </w:r>
      <w:r w:rsidRPr="001B0749">
        <w:rPr>
          <w:rFonts w:ascii="Verdana" w:hAnsi="Verdana"/>
          <w:lang w:val="en-GB"/>
        </w:rPr>
        <w:t xml:space="preserve">point source emissions from industrial facilities </w:t>
      </w:r>
      <w:r w:rsidR="00E04CDB">
        <w:rPr>
          <w:rFonts w:ascii="Verdana" w:hAnsi="Verdana"/>
          <w:lang w:val="en-GB"/>
        </w:rPr>
        <w:t>would be expected</w:t>
      </w:r>
      <w:r w:rsidRPr="001B0749">
        <w:rPr>
          <w:rFonts w:ascii="Verdana" w:hAnsi="Verdana"/>
          <w:lang w:val="en-GB"/>
        </w:rPr>
        <w:t xml:space="preserve">. </w:t>
      </w:r>
      <w:r w:rsidR="00E04CDB">
        <w:rPr>
          <w:rFonts w:ascii="Verdana" w:hAnsi="Verdana"/>
          <w:lang w:val="en-GB"/>
        </w:rPr>
        <w:t>B</w:t>
      </w:r>
      <w:r w:rsidRPr="001B0749">
        <w:rPr>
          <w:rFonts w:ascii="Verdana" w:hAnsi="Verdana"/>
          <w:lang w:val="en-GB"/>
        </w:rPr>
        <w:t xml:space="preserve">aseline and post-implementation monitoring </w:t>
      </w:r>
      <w:r w:rsidR="00E04CDB">
        <w:rPr>
          <w:rFonts w:ascii="Verdana" w:hAnsi="Verdana"/>
          <w:lang w:val="en-GB"/>
        </w:rPr>
        <w:t>would be required t</w:t>
      </w:r>
      <w:r w:rsidRPr="001B0749">
        <w:rPr>
          <w:rFonts w:ascii="Verdana" w:hAnsi="Verdana"/>
          <w:lang w:val="en-GB"/>
        </w:rPr>
        <w:t>o quantify emissions and any reductions achieved. The take-up of such a scheme by downstream users would also affect the overall level of emission reduction achievable.</w:t>
      </w:r>
    </w:p>
    <w:p w14:paraId="5A07B780" w14:textId="77777777" w:rsidR="000E324D" w:rsidRPr="001B0749" w:rsidRDefault="000E324D" w:rsidP="000E324D">
      <w:pPr>
        <w:pStyle w:val="CommentText"/>
        <w:spacing w:after="0"/>
        <w:jc w:val="both"/>
        <w:rPr>
          <w:rFonts w:ascii="Verdana" w:hAnsi="Verdana"/>
          <w:lang w:val="en-GB"/>
        </w:rPr>
      </w:pPr>
    </w:p>
    <w:p w14:paraId="75178117" w14:textId="135F8688" w:rsidR="000E324D" w:rsidRDefault="000E324D" w:rsidP="000E324D">
      <w:pPr>
        <w:pStyle w:val="CommentText"/>
        <w:spacing w:after="0"/>
        <w:jc w:val="both"/>
        <w:rPr>
          <w:rFonts w:ascii="Verdana" w:hAnsi="Verdana"/>
          <w:lang w:val="en-GB"/>
        </w:rPr>
      </w:pPr>
      <w:r w:rsidRPr="00A655D4">
        <w:rPr>
          <w:rFonts w:ascii="Verdana" w:hAnsi="Verdana"/>
          <w:lang w:val="en-GB"/>
        </w:rPr>
        <w:t xml:space="preserve">It is </w:t>
      </w:r>
      <w:r w:rsidR="00A655D4" w:rsidRPr="00A655D4">
        <w:rPr>
          <w:rFonts w:ascii="Verdana" w:hAnsi="Verdana"/>
          <w:lang w:val="en-GB"/>
        </w:rPr>
        <w:t>i</w:t>
      </w:r>
      <w:r w:rsidRPr="00A655D4">
        <w:rPr>
          <w:rFonts w:ascii="Verdana" w:hAnsi="Verdana"/>
          <w:lang w:val="en-GB"/>
        </w:rPr>
        <w:t>mportant to note that VECAP will have no impact on articles (including those that are imported) as it is not designed to address service life emissions.</w:t>
      </w:r>
    </w:p>
    <w:p w14:paraId="647F7236" w14:textId="77777777" w:rsidR="0063078D" w:rsidRDefault="0063078D" w:rsidP="000E324D">
      <w:pPr>
        <w:pStyle w:val="CommentText"/>
        <w:spacing w:after="0"/>
        <w:jc w:val="both"/>
        <w:rPr>
          <w:rFonts w:ascii="Verdana" w:hAnsi="Verdana"/>
          <w:lang w:val="en-GB"/>
        </w:rPr>
      </w:pPr>
    </w:p>
    <w:p w14:paraId="1C55261D" w14:textId="4C5915B2" w:rsidR="0057276C" w:rsidRDefault="0063078D" w:rsidP="000E324D">
      <w:pPr>
        <w:pStyle w:val="CommentText"/>
        <w:spacing w:after="0"/>
        <w:jc w:val="both"/>
        <w:rPr>
          <w:rFonts w:ascii="Verdana" w:hAnsi="Verdana"/>
          <w:lang w:val="en-GB"/>
        </w:rPr>
      </w:pPr>
      <w:r>
        <w:rPr>
          <w:rFonts w:ascii="Verdana" w:hAnsi="Verdana"/>
          <w:lang w:val="en-GB"/>
        </w:rPr>
        <w:lastRenderedPageBreak/>
        <w:t xml:space="preserve">The PVC industry has developed a voluntary commitment, VinylPlus, </w:t>
      </w:r>
      <w:r w:rsidR="0057276C">
        <w:rPr>
          <w:rFonts w:ascii="Verdana" w:hAnsi="Verdana"/>
          <w:lang w:val="en-GB"/>
        </w:rPr>
        <w:t>that aims to increase the sustainability of the PVC industry. The programme, which runs to 2020, has set and monitors performance against targets</w:t>
      </w:r>
      <w:r w:rsidR="002D4754">
        <w:rPr>
          <w:rFonts w:ascii="Verdana" w:hAnsi="Verdana"/>
          <w:lang w:val="en-GB"/>
        </w:rPr>
        <w:t xml:space="preserve"> under five themes</w:t>
      </w:r>
      <w:r w:rsidR="0057276C">
        <w:rPr>
          <w:rFonts w:ascii="Verdana" w:hAnsi="Verdana"/>
          <w:lang w:val="en-GB"/>
        </w:rPr>
        <w:t>:</w:t>
      </w:r>
    </w:p>
    <w:p w14:paraId="6F7F04C8" w14:textId="77777777" w:rsidR="0057276C" w:rsidRDefault="0057276C" w:rsidP="000E324D">
      <w:pPr>
        <w:pStyle w:val="CommentText"/>
        <w:spacing w:after="0"/>
        <w:jc w:val="both"/>
        <w:rPr>
          <w:rFonts w:ascii="Verdana" w:hAnsi="Verdana"/>
          <w:lang w:val="en-GB"/>
        </w:rPr>
      </w:pPr>
    </w:p>
    <w:p w14:paraId="76E76F07" w14:textId="3DCC15B1" w:rsidR="0057276C" w:rsidRDefault="0057276C" w:rsidP="002B01E8">
      <w:pPr>
        <w:pStyle w:val="CommentText"/>
        <w:numPr>
          <w:ilvl w:val="0"/>
          <w:numId w:val="21"/>
        </w:numPr>
        <w:spacing w:after="0"/>
        <w:jc w:val="both"/>
        <w:rPr>
          <w:rFonts w:ascii="Verdana" w:hAnsi="Verdana"/>
          <w:lang w:val="en-GB"/>
        </w:rPr>
      </w:pPr>
      <w:r>
        <w:rPr>
          <w:rFonts w:ascii="Verdana" w:hAnsi="Verdana"/>
          <w:lang w:val="en-GB"/>
        </w:rPr>
        <w:t>Controlled-loop management (recycl</w:t>
      </w:r>
      <w:r w:rsidR="002B01E8">
        <w:rPr>
          <w:rFonts w:ascii="Verdana" w:hAnsi="Verdana"/>
          <w:lang w:val="en-GB"/>
        </w:rPr>
        <w:t>ing</w:t>
      </w:r>
      <w:r>
        <w:rPr>
          <w:rFonts w:ascii="Verdana" w:hAnsi="Verdana"/>
          <w:lang w:val="en-GB"/>
        </w:rPr>
        <w:t>)</w:t>
      </w:r>
    </w:p>
    <w:p w14:paraId="5EBA31A5" w14:textId="3EE3A59E" w:rsidR="0057276C" w:rsidRDefault="002B01E8" w:rsidP="002B01E8">
      <w:pPr>
        <w:pStyle w:val="CommentText"/>
        <w:numPr>
          <w:ilvl w:val="0"/>
          <w:numId w:val="21"/>
        </w:numPr>
        <w:spacing w:after="0"/>
        <w:jc w:val="both"/>
        <w:rPr>
          <w:rFonts w:ascii="Verdana" w:hAnsi="Verdana"/>
          <w:lang w:val="en-GB"/>
        </w:rPr>
      </w:pPr>
      <w:r>
        <w:rPr>
          <w:rFonts w:ascii="Verdana" w:hAnsi="Verdana"/>
          <w:lang w:val="en-GB"/>
        </w:rPr>
        <w:t>Reducing o</w:t>
      </w:r>
      <w:r w:rsidR="0057276C">
        <w:rPr>
          <w:rFonts w:ascii="Verdana" w:hAnsi="Verdana"/>
          <w:lang w:val="en-GB"/>
        </w:rPr>
        <w:t>rgano-chlorine emissions</w:t>
      </w:r>
      <w:r>
        <w:rPr>
          <w:rFonts w:ascii="Verdana" w:hAnsi="Verdana"/>
          <w:lang w:val="en-GB"/>
        </w:rPr>
        <w:t xml:space="preserve"> </w:t>
      </w:r>
    </w:p>
    <w:p w14:paraId="27260594" w14:textId="3E55620F" w:rsidR="0057276C" w:rsidRDefault="0057276C" w:rsidP="002B01E8">
      <w:pPr>
        <w:pStyle w:val="CommentText"/>
        <w:numPr>
          <w:ilvl w:val="0"/>
          <w:numId w:val="21"/>
        </w:numPr>
        <w:spacing w:after="0"/>
        <w:jc w:val="both"/>
        <w:rPr>
          <w:rFonts w:ascii="Verdana" w:hAnsi="Verdana"/>
          <w:lang w:val="en-GB"/>
        </w:rPr>
      </w:pPr>
      <w:r>
        <w:rPr>
          <w:rFonts w:ascii="Verdana" w:hAnsi="Verdana"/>
          <w:lang w:val="en-GB"/>
        </w:rPr>
        <w:t>Sustainable use of additives</w:t>
      </w:r>
      <w:r w:rsidR="002B01E8">
        <w:rPr>
          <w:rFonts w:ascii="Verdana" w:hAnsi="Verdana"/>
          <w:lang w:val="en-GB"/>
        </w:rPr>
        <w:t xml:space="preserve"> </w:t>
      </w:r>
    </w:p>
    <w:p w14:paraId="338982F2" w14:textId="0E23D70F" w:rsidR="0057276C" w:rsidRDefault="0057276C" w:rsidP="002B01E8">
      <w:pPr>
        <w:pStyle w:val="CommentText"/>
        <w:numPr>
          <w:ilvl w:val="0"/>
          <w:numId w:val="21"/>
        </w:numPr>
        <w:spacing w:after="0"/>
        <w:jc w:val="both"/>
        <w:rPr>
          <w:rFonts w:ascii="Verdana" w:hAnsi="Verdana"/>
          <w:lang w:val="en-GB"/>
        </w:rPr>
      </w:pPr>
      <w:r>
        <w:rPr>
          <w:rFonts w:ascii="Verdana" w:hAnsi="Verdana"/>
          <w:lang w:val="en-GB"/>
        </w:rPr>
        <w:t>Sustainable use of energy and raw materials</w:t>
      </w:r>
    </w:p>
    <w:p w14:paraId="084D5C36" w14:textId="6C9FB41C" w:rsidR="0063078D" w:rsidRDefault="0057276C" w:rsidP="002B01E8">
      <w:pPr>
        <w:pStyle w:val="CommentText"/>
        <w:numPr>
          <w:ilvl w:val="0"/>
          <w:numId w:val="21"/>
        </w:numPr>
        <w:spacing w:after="0"/>
        <w:jc w:val="both"/>
        <w:rPr>
          <w:rFonts w:ascii="Verdana" w:hAnsi="Verdana"/>
          <w:lang w:val="en-GB"/>
        </w:rPr>
      </w:pPr>
      <w:r>
        <w:rPr>
          <w:rFonts w:ascii="Verdana" w:hAnsi="Verdana"/>
          <w:lang w:val="en-GB"/>
        </w:rPr>
        <w:t xml:space="preserve">Sustainability awareness </w:t>
      </w:r>
    </w:p>
    <w:p w14:paraId="45CD8E22" w14:textId="77777777" w:rsidR="002B01E8" w:rsidRDefault="002B01E8" w:rsidP="000E324D">
      <w:pPr>
        <w:pStyle w:val="CommentText"/>
        <w:spacing w:after="0"/>
        <w:jc w:val="both"/>
        <w:rPr>
          <w:rFonts w:ascii="Verdana" w:hAnsi="Verdana"/>
          <w:lang w:val="en-GB"/>
        </w:rPr>
      </w:pPr>
    </w:p>
    <w:p w14:paraId="5CBD917A" w14:textId="01D493B6" w:rsidR="002B01E8" w:rsidRDefault="002B01E8" w:rsidP="000E324D">
      <w:pPr>
        <w:pStyle w:val="CommentText"/>
        <w:spacing w:after="0"/>
        <w:jc w:val="both"/>
        <w:rPr>
          <w:rFonts w:ascii="Verdana" w:hAnsi="Verdana"/>
          <w:lang w:val="en-GB"/>
        </w:rPr>
      </w:pPr>
      <w:r>
        <w:rPr>
          <w:rFonts w:ascii="Verdana" w:hAnsi="Verdana"/>
          <w:lang w:val="en-GB"/>
        </w:rPr>
        <w:t xml:space="preserve">The UK CA concludes that voluntary initiatives could play an important role in reducing </w:t>
      </w:r>
      <w:r w:rsidR="000578F2">
        <w:rPr>
          <w:rFonts w:ascii="Verdana" w:hAnsi="Verdana"/>
          <w:lang w:val="en-GB"/>
        </w:rPr>
        <w:t>MCCPs</w:t>
      </w:r>
      <w:r>
        <w:rPr>
          <w:rFonts w:ascii="Verdana" w:hAnsi="Verdana"/>
          <w:lang w:val="en-GB"/>
        </w:rPr>
        <w:t xml:space="preserve"> emissions and environmental exposure. </w:t>
      </w:r>
      <w:r w:rsidR="00C1767B">
        <w:rPr>
          <w:rFonts w:ascii="Verdana" w:hAnsi="Verdana"/>
          <w:lang w:val="en-GB"/>
        </w:rPr>
        <w:t xml:space="preserve">However, </w:t>
      </w:r>
      <w:r>
        <w:rPr>
          <w:rFonts w:ascii="Verdana" w:hAnsi="Verdana"/>
          <w:lang w:val="en-GB"/>
        </w:rPr>
        <w:t xml:space="preserve">it is difficult to see how this approach could be as effective </w:t>
      </w:r>
      <w:r w:rsidR="00C1767B">
        <w:rPr>
          <w:rFonts w:ascii="Verdana" w:hAnsi="Verdana"/>
          <w:lang w:val="en-GB"/>
        </w:rPr>
        <w:t xml:space="preserve">or consistent </w:t>
      </w:r>
      <w:r>
        <w:rPr>
          <w:rFonts w:ascii="Verdana" w:hAnsi="Verdana"/>
          <w:lang w:val="en-GB"/>
        </w:rPr>
        <w:t xml:space="preserve">as a REACH restriction. </w:t>
      </w:r>
    </w:p>
    <w:p w14:paraId="6F82E14A" w14:textId="77777777" w:rsidR="002B01E8" w:rsidRDefault="002B01E8" w:rsidP="000E324D">
      <w:pPr>
        <w:pStyle w:val="CommentText"/>
        <w:spacing w:after="0"/>
        <w:jc w:val="both"/>
        <w:rPr>
          <w:rFonts w:ascii="Verdana" w:hAnsi="Verdana"/>
          <w:lang w:val="en-GB"/>
        </w:rPr>
      </w:pPr>
    </w:p>
    <w:p w14:paraId="74058FB8" w14:textId="77777777" w:rsidR="002B01E8" w:rsidRDefault="002B01E8" w:rsidP="000E324D">
      <w:pPr>
        <w:pStyle w:val="CommentText"/>
        <w:spacing w:after="0"/>
        <w:jc w:val="both"/>
        <w:rPr>
          <w:rFonts w:ascii="Verdana" w:hAnsi="Verdana"/>
          <w:lang w:val="en-GB"/>
        </w:rPr>
      </w:pPr>
    </w:p>
    <w:p w14:paraId="39B96B22" w14:textId="77777777" w:rsidR="00080134" w:rsidRDefault="00080134" w:rsidP="00080134">
      <w:pPr>
        <w:pStyle w:val="Heading2"/>
        <w:tabs>
          <w:tab w:val="clear" w:pos="839"/>
          <w:tab w:val="num" w:pos="540"/>
        </w:tabs>
        <w:spacing w:before="240"/>
        <w:ind w:left="540" w:hanging="540"/>
        <w:rPr>
          <w:szCs w:val="24"/>
        </w:rPr>
      </w:pPr>
      <w:r>
        <w:rPr>
          <w:szCs w:val="24"/>
        </w:rPr>
        <w:t>Conclusions on the most appropriate (combination of) risk management options</w:t>
      </w:r>
    </w:p>
    <w:p w14:paraId="1335E359" w14:textId="429C2EA9" w:rsidR="006F2960" w:rsidRPr="00F85CFD" w:rsidRDefault="005C355A" w:rsidP="00D35A5A">
      <w:pPr>
        <w:pStyle w:val="CommentText"/>
        <w:spacing w:after="0"/>
        <w:jc w:val="both"/>
      </w:pPr>
      <w:r>
        <w:rPr>
          <w:rFonts w:ascii="Verdana" w:hAnsi="Verdana"/>
          <w:lang w:val="en-GB"/>
        </w:rPr>
        <w:fldChar w:fldCharType="begin"/>
      </w:r>
      <w:r>
        <w:rPr>
          <w:rFonts w:ascii="Verdana" w:hAnsi="Verdana"/>
        </w:rPr>
        <w:instrText xml:space="preserve"> REF _Ref24113767 \h </w:instrText>
      </w:r>
      <w:r>
        <w:rPr>
          <w:rFonts w:ascii="Verdana" w:hAnsi="Verdana"/>
          <w:lang w:val="en-GB"/>
        </w:rPr>
      </w:r>
      <w:r>
        <w:rPr>
          <w:rFonts w:ascii="Verdana" w:hAnsi="Verdana"/>
          <w:lang w:val="en-GB"/>
        </w:rPr>
        <w:fldChar w:fldCharType="separate"/>
      </w:r>
      <w:r w:rsidRPr="009A50EF">
        <w:rPr>
          <w:rFonts w:ascii="Verdana" w:hAnsi="Verdana"/>
          <w:b/>
        </w:rPr>
        <w:t xml:space="preserve">Table </w:t>
      </w:r>
      <w:r w:rsidRPr="009A50EF">
        <w:rPr>
          <w:rFonts w:ascii="Verdana" w:hAnsi="Verdana"/>
          <w:b/>
          <w:noProof/>
        </w:rPr>
        <w:t>14</w:t>
      </w:r>
      <w:r>
        <w:rPr>
          <w:rFonts w:ascii="Verdana" w:hAnsi="Verdana"/>
          <w:lang w:val="en-GB"/>
        </w:rPr>
        <w:fldChar w:fldCharType="end"/>
      </w:r>
      <w:r>
        <w:rPr>
          <w:rFonts w:ascii="Verdana" w:hAnsi="Verdana"/>
          <w:lang w:val="en-GB"/>
        </w:rPr>
        <w:t xml:space="preserve"> </w:t>
      </w:r>
      <w:proofErr w:type="spellStart"/>
      <w:r w:rsidR="006F2960" w:rsidRPr="00576115">
        <w:rPr>
          <w:rFonts w:ascii="Verdana" w:hAnsi="Verdana"/>
        </w:rPr>
        <w:t>summarises</w:t>
      </w:r>
      <w:proofErr w:type="spellEnd"/>
      <w:r w:rsidR="006F2960" w:rsidRPr="00576115">
        <w:rPr>
          <w:rFonts w:ascii="Verdana" w:hAnsi="Verdana"/>
        </w:rPr>
        <w:t xml:space="preserve"> the expected performance of the five options that the UK CA considers </w:t>
      </w:r>
      <w:r w:rsidR="0067706D">
        <w:rPr>
          <w:rFonts w:ascii="Verdana" w:hAnsi="Verdana"/>
        </w:rPr>
        <w:t>most relevant for further</w:t>
      </w:r>
      <w:r w:rsidR="00FC5C8B">
        <w:rPr>
          <w:rFonts w:ascii="Verdana" w:hAnsi="Verdana"/>
        </w:rPr>
        <w:t xml:space="preserve"> consideration. They represent regulatory  alternatives, although they are not strictly mutually exclusive. </w:t>
      </w:r>
    </w:p>
    <w:p w14:paraId="155F9A10" w14:textId="77777777" w:rsidR="006F2960" w:rsidRDefault="006F2960" w:rsidP="00A655D4">
      <w:pPr>
        <w:pStyle w:val="ListParagraph"/>
        <w:spacing w:after="0"/>
        <w:ind w:left="360"/>
        <w:rPr>
          <w:rFonts w:ascii="Verdana" w:hAnsi="Verdana"/>
          <w:b/>
          <w:sz w:val="20"/>
          <w:szCs w:val="20"/>
        </w:rPr>
      </w:pPr>
    </w:p>
    <w:p w14:paraId="39B96B23" w14:textId="41D65E94" w:rsidR="001A4BCD" w:rsidRPr="00A655D4" w:rsidRDefault="005C355A" w:rsidP="009A50EF">
      <w:pPr>
        <w:pStyle w:val="Caption"/>
        <w:rPr>
          <w:rFonts w:ascii="Verdana" w:hAnsi="Verdana"/>
          <w:b/>
          <w:sz w:val="20"/>
        </w:rPr>
      </w:pPr>
      <w:bookmarkStart w:id="39" w:name="_Ref24113767"/>
      <w:r w:rsidRPr="009A50EF">
        <w:rPr>
          <w:rFonts w:ascii="Verdana" w:hAnsi="Verdana"/>
          <w:b/>
          <w:sz w:val="20"/>
        </w:rPr>
        <w:t xml:space="preserve">Table </w:t>
      </w:r>
      <w:r w:rsidRPr="009A50EF">
        <w:rPr>
          <w:rFonts w:ascii="Verdana" w:hAnsi="Verdana"/>
          <w:b/>
          <w:sz w:val="20"/>
        </w:rPr>
        <w:fldChar w:fldCharType="begin"/>
      </w:r>
      <w:r w:rsidRPr="009A50EF">
        <w:rPr>
          <w:rFonts w:ascii="Verdana" w:hAnsi="Verdana"/>
          <w:b/>
          <w:sz w:val="20"/>
        </w:rPr>
        <w:instrText xml:space="preserve"> SEQ Table \* ARABIC </w:instrText>
      </w:r>
      <w:r w:rsidRPr="009A50EF">
        <w:rPr>
          <w:rFonts w:ascii="Verdana" w:hAnsi="Verdana"/>
          <w:b/>
          <w:sz w:val="20"/>
        </w:rPr>
        <w:fldChar w:fldCharType="separate"/>
      </w:r>
      <w:r w:rsidRPr="009A50EF">
        <w:rPr>
          <w:rFonts w:ascii="Verdana" w:hAnsi="Verdana"/>
          <w:b/>
          <w:noProof/>
          <w:sz w:val="20"/>
        </w:rPr>
        <w:t>14</w:t>
      </w:r>
      <w:r w:rsidRPr="009A50EF">
        <w:rPr>
          <w:rFonts w:ascii="Verdana" w:hAnsi="Verdana"/>
          <w:b/>
          <w:sz w:val="20"/>
        </w:rPr>
        <w:fldChar w:fldCharType="end"/>
      </w:r>
      <w:bookmarkEnd w:id="39"/>
      <w:r w:rsidR="00A655D4" w:rsidRPr="00A655D4">
        <w:rPr>
          <w:rFonts w:ascii="Verdana" w:hAnsi="Verdana"/>
          <w:b/>
          <w:sz w:val="20"/>
        </w:rPr>
        <w:t>:</w:t>
      </w:r>
      <w:r w:rsidR="001A4BCD" w:rsidRPr="00A655D4">
        <w:rPr>
          <w:rFonts w:ascii="Verdana" w:hAnsi="Verdana"/>
          <w:b/>
          <w:sz w:val="20"/>
        </w:rPr>
        <w:t xml:space="preserve"> </w:t>
      </w:r>
      <w:r w:rsidR="00A655D4" w:rsidRPr="00A655D4">
        <w:rPr>
          <w:rFonts w:ascii="Verdana" w:hAnsi="Verdana"/>
          <w:b/>
          <w:sz w:val="20"/>
        </w:rPr>
        <w:t xml:space="preserve">Performance of </w:t>
      </w:r>
      <w:r w:rsidR="004A7B58">
        <w:rPr>
          <w:rFonts w:ascii="Verdana" w:hAnsi="Verdana"/>
          <w:b/>
          <w:sz w:val="20"/>
        </w:rPr>
        <w:t xml:space="preserve">the most relevant </w:t>
      </w:r>
      <w:r w:rsidR="00A655D4" w:rsidRPr="00A655D4">
        <w:rPr>
          <w:rFonts w:ascii="Verdana" w:hAnsi="Verdana"/>
          <w:b/>
          <w:sz w:val="20"/>
        </w:rPr>
        <w:t>RMO</w:t>
      </w:r>
      <w:r w:rsidR="004A7B58">
        <w:rPr>
          <w:rFonts w:ascii="Verdana" w:hAnsi="Verdana"/>
          <w:b/>
          <w:sz w:val="20"/>
        </w:rPr>
        <w:t>s</w:t>
      </w:r>
      <w:r w:rsidR="00A655D4" w:rsidRPr="00A655D4">
        <w:rPr>
          <w:rFonts w:ascii="Verdana" w:hAnsi="Verdana"/>
          <w:b/>
          <w:sz w:val="20"/>
        </w:rPr>
        <w:t xml:space="preserve"> compared to REACH registration</w:t>
      </w:r>
      <w:r w:rsidR="00A655D4" w:rsidRPr="00A655D4">
        <w:rPr>
          <w:rFonts w:ascii="Verdana" w:hAnsi="Verdana"/>
          <w:b/>
          <w:sz w:val="20"/>
        </w:rPr>
        <w:cr/>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1701"/>
        <w:gridCol w:w="1134"/>
        <w:gridCol w:w="1276"/>
        <w:gridCol w:w="1276"/>
      </w:tblGrid>
      <w:tr w:rsidR="00C1767B" w:rsidRPr="00B512AC" w14:paraId="1E59EB06" w14:textId="77777777" w:rsidTr="00D35A5A">
        <w:trPr>
          <w:tblHeader/>
        </w:trPr>
        <w:tc>
          <w:tcPr>
            <w:tcW w:w="1555" w:type="dxa"/>
            <w:shd w:val="clear" w:color="auto" w:fill="auto"/>
          </w:tcPr>
          <w:p w14:paraId="4F140C0E" w14:textId="5507E50E" w:rsidR="006F2960" w:rsidRPr="00D35A5A" w:rsidRDefault="00861D95" w:rsidP="00B20579">
            <w:pPr>
              <w:spacing w:after="0"/>
              <w:rPr>
                <w:rFonts w:ascii="Verdana" w:hAnsi="Verdana"/>
                <w:b/>
                <w:sz w:val="18"/>
                <w:szCs w:val="20"/>
              </w:rPr>
            </w:pPr>
            <w:r>
              <w:rPr>
                <w:rFonts w:ascii="Verdana" w:hAnsi="Verdana"/>
                <w:b/>
                <w:sz w:val="18"/>
                <w:szCs w:val="20"/>
              </w:rPr>
              <w:t>Factors</w:t>
            </w:r>
          </w:p>
        </w:tc>
        <w:tc>
          <w:tcPr>
            <w:tcW w:w="1417" w:type="dxa"/>
            <w:shd w:val="clear" w:color="auto" w:fill="auto"/>
          </w:tcPr>
          <w:p w14:paraId="4F1F45DC" w14:textId="77777777" w:rsidR="006F2960" w:rsidRPr="00D35A5A" w:rsidRDefault="006F2960" w:rsidP="00B20579">
            <w:pPr>
              <w:spacing w:after="0"/>
              <w:rPr>
                <w:rFonts w:ascii="Verdana" w:hAnsi="Verdana"/>
                <w:b/>
                <w:sz w:val="18"/>
                <w:szCs w:val="20"/>
              </w:rPr>
            </w:pPr>
            <w:r w:rsidRPr="00D35A5A">
              <w:rPr>
                <w:rFonts w:ascii="Verdana" w:hAnsi="Verdana"/>
                <w:b/>
                <w:sz w:val="18"/>
                <w:szCs w:val="20"/>
              </w:rPr>
              <w:t>Restriction</w:t>
            </w:r>
          </w:p>
        </w:tc>
        <w:tc>
          <w:tcPr>
            <w:tcW w:w="1701" w:type="dxa"/>
            <w:shd w:val="clear" w:color="auto" w:fill="auto"/>
          </w:tcPr>
          <w:p w14:paraId="7DC7DB6A" w14:textId="77777777" w:rsidR="006F2960" w:rsidRPr="00D35A5A" w:rsidRDefault="006F2960" w:rsidP="00B20579">
            <w:pPr>
              <w:spacing w:after="0"/>
              <w:rPr>
                <w:rFonts w:ascii="Verdana" w:hAnsi="Verdana"/>
                <w:b/>
                <w:sz w:val="18"/>
                <w:szCs w:val="20"/>
              </w:rPr>
            </w:pPr>
            <w:r w:rsidRPr="00D35A5A">
              <w:rPr>
                <w:rFonts w:ascii="Verdana" w:hAnsi="Verdana"/>
                <w:b/>
                <w:sz w:val="18"/>
                <w:szCs w:val="20"/>
              </w:rPr>
              <w:t>Authorisation</w:t>
            </w:r>
          </w:p>
        </w:tc>
        <w:tc>
          <w:tcPr>
            <w:tcW w:w="1134" w:type="dxa"/>
            <w:shd w:val="clear" w:color="auto" w:fill="auto"/>
          </w:tcPr>
          <w:p w14:paraId="7739712F" w14:textId="77777777" w:rsidR="006F2960" w:rsidRPr="00D35A5A" w:rsidRDefault="006F2960" w:rsidP="00B20579">
            <w:pPr>
              <w:spacing w:after="0"/>
              <w:rPr>
                <w:rFonts w:ascii="Verdana" w:hAnsi="Verdana"/>
                <w:b/>
                <w:sz w:val="18"/>
                <w:szCs w:val="20"/>
              </w:rPr>
            </w:pPr>
            <w:r w:rsidRPr="00D35A5A">
              <w:rPr>
                <w:rFonts w:ascii="Verdana" w:hAnsi="Verdana"/>
                <w:b/>
                <w:sz w:val="18"/>
                <w:szCs w:val="20"/>
              </w:rPr>
              <w:t>RoHS</w:t>
            </w:r>
          </w:p>
        </w:tc>
        <w:tc>
          <w:tcPr>
            <w:tcW w:w="1276" w:type="dxa"/>
            <w:shd w:val="clear" w:color="auto" w:fill="auto"/>
          </w:tcPr>
          <w:p w14:paraId="71B805B1" w14:textId="77777777" w:rsidR="006F2960" w:rsidRPr="00D35A5A" w:rsidRDefault="006F2960" w:rsidP="00B20579">
            <w:pPr>
              <w:spacing w:after="0"/>
              <w:rPr>
                <w:rFonts w:ascii="Verdana" w:hAnsi="Verdana"/>
                <w:b/>
                <w:sz w:val="18"/>
                <w:szCs w:val="20"/>
              </w:rPr>
            </w:pPr>
            <w:r w:rsidRPr="00D35A5A">
              <w:rPr>
                <w:rFonts w:ascii="Verdana" w:hAnsi="Verdana"/>
                <w:b/>
                <w:sz w:val="18"/>
                <w:szCs w:val="20"/>
              </w:rPr>
              <w:t>POPs</w:t>
            </w:r>
          </w:p>
        </w:tc>
        <w:tc>
          <w:tcPr>
            <w:tcW w:w="1276" w:type="dxa"/>
          </w:tcPr>
          <w:p w14:paraId="44BCE996" w14:textId="77777777" w:rsidR="006F2960" w:rsidRPr="00D35A5A" w:rsidRDefault="006F2960" w:rsidP="00B20579">
            <w:pPr>
              <w:spacing w:after="0"/>
              <w:rPr>
                <w:rFonts w:ascii="Verdana" w:hAnsi="Verdana"/>
                <w:b/>
                <w:sz w:val="18"/>
                <w:szCs w:val="20"/>
              </w:rPr>
            </w:pPr>
            <w:r w:rsidRPr="00D35A5A">
              <w:rPr>
                <w:rFonts w:ascii="Verdana" w:hAnsi="Verdana"/>
                <w:b/>
                <w:sz w:val="18"/>
                <w:szCs w:val="20"/>
              </w:rPr>
              <w:t>Voluntary measures</w:t>
            </w:r>
          </w:p>
        </w:tc>
      </w:tr>
      <w:tr w:rsidR="00C1767B" w:rsidRPr="00B512AC" w14:paraId="11297918" w14:textId="77777777" w:rsidTr="00D35A5A">
        <w:tc>
          <w:tcPr>
            <w:tcW w:w="1555" w:type="dxa"/>
            <w:shd w:val="clear" w:color="auto" w:fill="auto"/>
          </w:tcPr>
          <w:p w14:paraId="7A99FC40" w14:textId="40280E0F" w:rsidR="006F2960" w:rsidRPr="00D35A5A" w:rsidRDefault="006F2960" w:rsidP="00631E2C">
            <w:pPr>
              <w:spacing w:after="0"/>
              <w:rPr>
                <w:rFonts w:ascii="Verdana" w:hAnsi="Verdana"/>
                <w:sz w:val="18"/>
                <w:szCs w:val="20"/>
              </w:rPr>
            </w:pPr>
            <w:r w:rsidRPr="00D35A5A">
              <w:rPr>
                <w:rFonts w:ascii="Verdana" w:hAnsi="Verdana"/>
                <w:sz w:val="18"/>
                <w:szCs w:val="20"/>
              </w:rPr>
              <w:t xml:space="preserve">Effectiveness for </w:t>
            </w:r>
            <w:proofErr w:type="spellStart"/>
            <w:r w:rsidRPr="00D35A5A">
              <w:rPr>
                <w:rFonts w:ascii="Verdana" w:hAnsi="Verdana"/>
                <w:sz w:val="18"/>
                <w:szCs w:val="20"/>
              </w:rPr>
              <w:t>minimising</w:t>
            </w:r>
            <w:proofErr w:type="spellEnd"/>
            <w:r w:rsidRPr="00D35A5A">
              <w:rPr>
                <w:rFonts w:ascii="Verdana" w:hAnsi="Verdana"/>
                <w:sz w:val="18"/>
                <w:szCs w:val="20"/>
              </w:rPr>
              <w:t xml:space="preserve"> emissions and exposure</w:t>
            </w:r>
          </w:p>
        </w:tc>
        <w:tc>
          <w:tcPr>
            <w:tcW w:w="1417" w:type="dxa"/>
            <w:shd w:val="clear" w:color="auto" w:fill="auto"/>
          </w:tcPr>
          <w:p w14:paraId="006F1080" w14:textId="2EE5F1D7" w:rsidR="006F2960" w:rsidRPr="00D35A5A" w:rsidRDefault="006F2960" w:rsidP="00B20579">
            <w:pPr>
              <w:spacing w:after="0"/>
              <w:rPr>
                <w:rFonts w:ascii="Verdana" w:hAnsi="Verdana"/>
                <w:b/>
                <w:sz w:val="18"/>
                <w:szCs w:val="20"/>
              </w:rPr>
            </w:pPr>
            <w:r w:rsidRPr="00D35A5A">
              <w:rPr>
                <w:rFonts w:ascii="Verdana" w:hAnsi="Verdana"/>
                <w:b/>
                <w:sz w:val="18"/>
                <w:szCs w:val="20"/>
              </w:rPr>
              <w:t xml:space="preserve">High </w:t>
            </w:r>
            <w:r w:rsidRPr="00D35A5A">
              <w:rPr>
                <w:rFonts w:ascii="Verdana" w:hAnsi="Verdana"/>
                <w:sz w:val="18"/>
                <w:szCs w:val="20"/>
              </w:rPr>
              <w:t>– can be targeted at the uses of highest concern</w:t>
            </w:r>
            <w:r w:rsidR="004A7B58">
              <w:rPr>
                <w:rFonts w:ascii="Verdana" w:hAnsi="Verdana"/>
                <w:sz w:val="18"/>
                <w:szCs w:val="20"/>
              </w:rPr>
              <w:t>, including imports</w:t>
            </w:r>
          </w:p>
        </w:tc>
        <w:tc>
          <w:tcPr>
            <w:tcW w:w="1701" w:type="dxa"/>
            <w:shd w:val="clear" w:color="auto" w:fill="auto"/>
          </w:tcPr>
          <w:p w14:paraId="3FD8ABAF" w14:textId="1443DD99" w:rsidR="008175AD" w:rsidRPr="00D35A5A" w:rsidRDefault="008175AD" w:rsidP="008175AD">
            <w:pPr>
              <w:spacing w:after="0"/>
              <w:rPr>
                <w:rFonts w:ascii="Verdana" w:hAnsi="Verdana"/>
                <w:b/>
                <w:sz w:val="18"/>
                <w:szCs w:val="20"/>
              </w:rPr>
            </w:pPr>
            <w:r w:rsidRPr="00D35A5A">
              <w:rPr>
                <w:rFonts w:ascii="Verdana" w:hAnsi="Verdana"/>
                <w:b/>
                <w:sz w:val="18"/>
                <w:szCs w:val="20"/>
              </w:rPr>
              <w:t>Medium –</w:t>
            </w:r>
            <w:r w:rsidRPr="00D35A5A">
              <w:rPr>
                <w:rFonts w:ascii="Verdana" w:hAnsi="Verdana"/>
                <w:sz w:val="18"/>
                <w:szCs w:val="20"/>
              </w:rPr>
              <w:t>would not cover imported articles</w:t>
            </w:r>
          </w:p>
        </w:tc>
        <w:tc>
          <w:tcPr>
            <w:tcW w:w="1134" w:type="dxa"/>
            <w:shd w:val="clear" w:color="auto" w:fill="auto"/>
          </w:tcPr>
          <w:p w14:paraId="763F205B" w14:textId="303ED4C0" w:rsidR="006F2960" w:rsidRPr="00D35A5A" w:rsidRDefault="006F2960" w:rsidP="00BA10B3">
            <w:pPr>
              <w:spacing w:after="0"/>
              <w:rPr>
                <w:rFonts w:ascii="Verdana" w:hAnsi="Verdana"/>
                <w:b/>
                <w:sz w:val="18"/>
                <w:szCs w:val="20"/>
              </w:rPr>
            </w:pPr>
            <w:r w:rsidRPr="00D35A5A">
              <w:rPr>
                <w:rFonts w:ascii="Verdana" w:hAnsi="Verdana"/>
                <w:b/>
                <w:sz w:val="18"/>
                <w:szCs w:val="20"/>
              </w:rPr>
              <w:t xml:space="preserve">Low – </w:t>
            </w:r>
            <w:r w:rsidRPr="00D35A5A">
              <w:rPr>
                <w:rFonts w:ascii="Verdana" w:hAnsi="Verdana"/>
                <w:sz w:val="18"/>
                <w:szCs w:val="20"/>
              </w:rPr>
              <w:t xml:space="preserve"> only cover</w:t>
            </w:r>
            <w:r w:rsidR="00BA10B3" w:rsidRPr="00D35A5A">
              <w:rPr>
                <w:rFonts w:ascii="Verdana" w:hAnsi="Verdana"/>
                <w:sz w:val="18"/>
                <w:szCs w:val="20"/>
              </w:rPr>
              <w:t>s</w:t>
            </w:r>
            <w:r w:rsidRPr="00D35A5A">
              <w:rPr>
                <w:rFonts w:ascii="Verdana" w:hAnsi="Verdana"/>
                <w:sz w:val="18"/>
                <w:szCs w:val="20"/>
              </w:rPr>
              <w:t xml:space="preserve"> electrical items, but </w:t>
            </w:r>
            <w:r w:rsidR="00BA10B3" w:rsidRPr="00D35A5A">
              <w:rPr>
                <w:rFonts w:ascii="Verdana" w:hAnsi="Verdana"/>
                <w:sz w:val="18"/>
                <w:szCs w:val="20"/>
              </w:rPr>
              <w:t>includes imports</w:t>
            </w:r>
          </w:p>
        </w:tc>
        <w:tc>
          <w:tcPr>
            <w:tcW w:w="1276" w:type="dxa"/>
            <w:shd w:val="clear" w:color="auto" w:fill="auto"/>
          </w:tcPr>
          <w:p w14:paraId="362F80D1" w14:textId="4DD9CC87" w:rsidR="006F2960" w:rsidRPr="00D35A5A" w:rsidRDefault="00FC5C8B" w:rsidP="00B20579">
            <w:pPr>
              <w:spacing w:after="0"/>
              <w:rPr>
                <w:rFonts w:ascii="Verdana" w:hAnsi="Verdana"/>
                <w:b/>
                <w:sz w:val="18"/>
                <w:szCs w:val="20"/>
              </w:rPr>
            </w:pPr>
            <w:r w:rsidRPr="00D35A5A">
              <w:rPr>
                <w:rFonts w:ascii="Verdana" w:hAnsi="Verdana"/>
                <w:b/>
                <w:sz w:val="18"/>
                <w:szCs w:val="20"/>
              </w:rPr>
              <w:t>High</w:t>
            </w:r>
            <w:r w:rsidR="00BA10B3" w:rsidRPr="00D35A5A">
              <w:rPr>
                <w:rFonts w:ascii="Verdana" w:hAnsi="Verdana"/>
                <w:b/>
                <w:sz w:val="18"/>
                <w:szCs w:val="20"/>
              </w:rPr>
              <w:t xml:space="preserve"> </w:t>
            </w:r>
            <w:r w:rsidR="00BA10B3" w:rsidRPr="00D35A5A">
              <w:rPr>
                <w:rFonts w:ascii="Verdana" w:hAnsi="Verdana"/>
                <w:sz w:val="18"/>
                <w:szCs w:val="20"/>
              </w:rPr>
              <w:t>– similar to restriction</w:t>
            </w:r>
          </w:p>
        </w:tc>
        <w:tc>
          <w:tcPr>
            <w:tcW w:w="1276" w:type="dxa"/>
          </w:tcPr>
          <w:p w14:paraId="63C4D4ED" w14:textId="34663E94" w:rsidR="006F2960" w:rsidRPr="00D35A5A" w:rsidRDefault="008175AD">
            <w:pPr>
              <w:spacing w:after="0"/>
              <w:rPr>
                <w:rFonts w:ascii="Verdana" w:hAnsi="Verdana"/>
                <w:sz w:val="18"/>
                <w:szCs w:val="20"/>
              </w:rPr>
            </w:pPr>
            <w:r w:rsidRPr="00D35A5A">
              <w:rPr>
                <w:rFonts w:ascii="Verdana" w:hAnsi="Verdana"/>
                <w:b/>
                <w:sz w:val="18"/>
                <w:szCs w:val="20"/>
              </w:rPr>
              <w:t xml:space="preserve">Medium </w:t>
            </w:r>
            <w:r w:rsidRPr="00D35A5A">
              <w:rPr>
                <w:rFonts w:ascii="Verdana" w:hAnsi="Verdana"/>
                <w:sz w:val="18"/>
                <w:szCs w:val="20"/>
              </w:rPr>
              <w:t xml:space="preserve">– measures could encourage </w:t>
            </w:r>
            <w:proofErr w:type="spellStart"/>
            <w:r w:rsidR="004A7B58">
              <w:rPr>
                <w:rFonts w:ascii="Verdana" w:hAnsi="Verdana"/>
                <w:sz w:val="18"/>
                <w:szCs w:val="20"/>
              </w:rPr>
              <w:t>substitu-tion</w:t>
            </w:r>
            <w:proofErr w:type="spellEnd"/>
            <w:r w:rsidRPr="00D35A5A">
              <w:rPr>
                <w:rFonts w:ascii="Verdana" w:hAnsi="Verdana"/>
                <w:sz w:val="18"/>
                <w:szCs w:val="20"/>
              </w:rPr>
              <w:t xml:space="preserve"> </w:t>
            </w:r>
          </w:p>
        </w:tc>
      </w:tr>
      <w:tr w:rsidR="00C1767B" w:rsidRPr="00B512AC" w14:paraId="4A81DEC5" w14:textId="77777777" w:rsidTr="00D35A5A">
        <w:tc>
          <w:tcPr>
            <w:tcW w:w="1555" w:type="dxa"/>
            <w:shd w:val="clear" w:color="auto" w:fill="auto"/>
          </w:tcPr>
          <w:p w14:paraId="7F173DE5" w14:textId="6FF55875" w:rsidR="006F2960" w:rsidRPr="00D35A5A" w:rsidRDefault="006F2960" w:rsidP="00B20579">
            <w:pPr>
              <w:spacing w:after="0"/>
              <w:rPr>
                <w:rFonts w:ascii="Verdana" w:hAnsi="Verdana"/>
                <w:sz w:val="18"/>
                <w:szCs w:val="20"/>
              </w:rPr>
            </w:pPr>
            <w:r w:rsidRPr="00D35A5A">
              <w:rPr>
                <w:rFonts w:ascii="Verdana" w:hAnsi="Verdana"/>
                <w:sz w:val="18"/>
                <w:szCs w:val="20"/>
              </w:rPr>
              <w:t>Time to outcome (years)</w:t>
            </w:r>
          </w:p>
        </w:tc>
        <w:tc>
          <w:tcPr>
            <w:tcW w:w="1417" w:type="dxa"/>
            <w:shd w:val="clear" w:color="auto" w:fill="auto"/>
          </w:tcPr>
          <w:p w14:paraId="39AE7287" w14:textId="6E9D4690" w:rsidR="006F2960" w:rsidRPr="00D35A5A" w:rsidRDefault="00E0617F">
            <w:pPr>
              <w:spacing w:after="0"/>
              <w:rPr>
                <w:rFonts w:ascii="Verdana" w:hAnsi="Verdana"/>
                <w:b/>
                <w:sz w:val="18"/>
                <w:szCs w:val="20"/>
              </w:rPr>
            </w:pPr>
            <w:r>
              <w:rPr>
                <w:rFonts w:ascii="Verdana" w:hAnsi="Verdana"/>
                <w:b/>
                <w:sz w:val="18"/>
                <w:szCs w:val="20"/>
              </w:rPr>
              <w:t xml:space="preserve">≥ </w:t>
            </w:r>
            <w:r w:rsidR="004A7B58">
              <w:rPr>
                <w:rFonts w:ascii="Verdana" w:hAnsi="Verdana"/>
                <w:b/>
                <w:sz w:val="18"/>
                <w:szCs w:val="20"/>
              </w:rPr>
              <w:t>3.5</w:t>
            </w:r>
            <w:r w:rsidR="006F2960" w:rsidRPr="00D35A5A">
              <w:rPr>
                <w:rFonts w:ascii="Verdana" w:hAnsi="Verdana"/>
                <w:b/>
                <w:sz w:val="18"/>
                <w:szCs w:val="20"/>
              </w:rPr>
              <w:t xml:space="preserve"> years</w:t>
            </w:r>
            <w:r w:rsidR="004A7B58">
              <w:rPr>
                <w:rFonts w:ascii="Verdana" w:hAnsi="Verdana"/>
                <w:b/>
                <w:sz w:val="18"/>
                <w:szCs w:val="20"/>
              </w:rPr>
              <w:t xml:space="preserve"> </w:t>
            </w:r>
            <w:r w:rsidR="004A7B58">
              <w:rPr>
                <w:rFonts w:ascii="Verdana" w:hAnsi="Verdana"/>
                <w:sz w:val="18"/>
                <w:szCs w:val="20"/>
              </w:rPr>
              <w:t xml:space="preserve">in terms of preparing and processing a proposal and </w:t>
            </w:r>
            <w:r>
              <w:rPr>
                <w:rFonts w:ascii="Verdana" w:hAnsi="Verdana"/>
                <w:sz w:val="18"/>
                <w:szCs w:val="20"/>
              </w:rPr>
              <w:t>entry</w:t>
            </w:r>
            <w:r w:rsidR="004A7B58">
              <w:rPr>
                <w:rFonts w:ascii="Verdana" w:hAnsi="Verdana"/>
                <w:sz w:val="18"/>
                <w:szCs w:val="20"/>
              </w:rPr>
              <w:t xml:space="preserve"> into force</w:t>
            </w:r>
          </w:p>
        </w:tc>
        <w:tc>
          <w:tcPr>
            <w:tcW w:w="1701" w:type="dxa"/>
            <w:shd w:val="clear" w:color="auto" w:fill="auto"/>
          </w:tcPr>
          <w:p w14:paraId="746C7417" w14:textId="4434E8C7" w:rsidR="006F2960" w:rsidRPr="00D35A5A" w:rsidRDefault="00E0617F" w:rsidP="00B20579">
            <w:pPr>
              <w:spacing w:after="0"/>
              <w:rPr>
                <w:rFonts w:ascii="Verdana" w:hAnsi="Verdana"/>
                <w:sz w:val="18"/>
                <w:szCs w:val="20"/>
              </w:rPr>
            </w:pPr>
            <w:r>
              <w:rPr>
                <w:rFonts w:ascii="Verdana" w:hAnsi="Verdana"/>
                <w:b/>
                <w:sz w:val="18"/>
                <w:szCs w:val="20"/>
              </w:rPr>
              <w:t xml:space="preserve">≥ </w:t>
            </w:r>
            <w:r w:rsidR="004A7B58">
              <w:rPr>
                <w:rFonts w:ascii="Verdana" w:hAnsi="Verdana"/>
                <w:b/>
                <w:sz w:val="18"/>
                <w:szCs w:val="20"/>
              </w:rPr>
              <w:t>5</w:t>
            </w:r>
            <w:r w:rsidR="008175AD" w:rsidRPr="00D35A5A">
              <w:rPr>
                <w:rFonts w:ascii="Verdana" w:hAnsi="Verdana"/>
                <w:b/>
                <w:sz w:val="18"/>
                <w:szCs w:val="20"/>
              </w:rPr>
              <w:t xml:space="preserve"> years</w:t>
            </w:r>
            <w:r w:rsidR="004A7B58">
              <w:rPr>
                <w:rFonts w:ascii="Verdana" w:hAnsi="Verdana"/>
                <w:sz w:val="18"/>
                <w:szCs w:val="20"/>
              </w:rPr>
              <w:t xml:space="preserve"> in terms of SVHC identification, Annex XIV prioritization and processing of applications</w:t>
            </w:r>
          </w:p>
        </w:tc>
        <w:tc>
          <w:tcPr>
            <w:tcW w:w="1134" w:type="dxa"/>
            <w:shd w:val="clear" w:color="auto" w:fill="auto"/>
          </w:tcPr>
          <w:p w14:paraId="65B37636" w14:textId="1F0EAEF1" w:rsidR="006F2960" w:rsidRPr="00D35A5A" w:rsidRDefault="004A7B58">
            <w:pPr>
              <w:spacing w:after="0"/>
              <w:rPr>
                <w:rFonts w:ascii="Verdana" w:hAnsi="Verdana"/>
                <w:b/>
                <w:sz w:val="18"/>
                <w:szCs w:val="20"/>
              </w:rPr>
            </w:pPr>
            <w:r>
              <w:rPr>
                <w:rFonts w:ascii="Verdana" w:hAnsi="Verdana"/>
                <w:b/>
                <w:sz w:val="18"/>
                <w:szCs w:val="20"/>
              </w:rPr>
              <w:t xml:space="preserve">Not </w:t>
            </w:r>
            <w:r w:rsidRPr="00D35A5A">
              <w:rPr>
                <w:rFonts w:ascii="Verdana" w:hAnsi="Verdana"/>
                <w:b/>
                <w:sz w:val="18"/>
                <w:szCs w:val="20"/>
              </w:rPr>
              <w:t>known</w:t>
            </w:r>
            <w:r>
              <w:rPr>
                <w:rFonts w:ascii="Verdana" w:hAnsi="Verdana"/>
                <w:b/>
                <w:sz w:val="18"/>
                <w:szCs w:val="20"/>
              </w:rPr>
              <w:t xml:space="preserve"> </w:t>
            </w:r>
          </w:p>
        </w:tc>
        <w:tc>
          <w:tcPr>
            <w:tcW w:w="1276" w:type="dxa"/>
            <w:shd w:val="clear" w:color="auto" w:fill="auto"/>
          </w:tcPr>
          <w:p w14:paraId="30CAE8A2" w14:textId="3EC808B3" w:rsidR="006F2960" w:rsidRPr="00D35A5A" w:rsidRDefault="004A7B58">
            <w:pPr>
              <w:spacing w:after="0"/>
              <w:rPr>
                <w:rFonts w:ascii="Verdana" w:hAnsi="Verdana"/>
                <w:b/>
                <w:sz w:val="18"/>
                <w:szCs w:val="20"/>
              </w:rPr>
            </w:pPr>
            <w:r>
              <w:rPr>
                <w:rFonts w:ascii="Verdana" w:hAnsi="Verdana"/>
                <w:b/>
                <w:sz w:val="18"/>
                <w:szCs w:val="20"/>
              </w:rPr>
              <w:t>Equal to or longer than</w:t>
            </w:r>
            <w:r w:rsidRPr="00D35A5A">
              <w:rPr>
                <w:rFonts w:ascii="Verdana" w:hAnsi="Verdana"/>
                <w:b/>
                <w:sz w:val="18"/>
                <w:szCs w:val="20"/>
              </w:rPr>
              <w:t xml:space="preserve"> restriction</w:t>
            </w:r>
          </w:p>
        </w:tc>
        <w:tc>
          <w:tcPr>
            <w:tcW w:w="1276" w:type="dxa"/>
          </w:tcPr>
          <w:p w14:paraId="247C2AC7" w14:textId="20A93AE3" w:rsidR="006F2960" w:rsidRPr="00D35A5A" w:rsidRDefault="004A7B58" w:rsidP="00B20579">
            <w:pPr>
              <w:spacing w:after="0"/>
              <w:rPr>
                <w:rFonts w:ascii="Verdana" w:hAnsi="Verdana" w:cs="Wingdings"/>
                <w:sz w:val="18"/>
                <w:szCs w:val="20"/>
              </w:rPr>
            </w:pPr>
            <w:r w:rsidRPr="000E37AC">
              <w:rPr>
                <w:rFonts w:ascii="Verdana" w:hAnsi="Verdana"/>
                <w:b/>
                <w:sz w:val="18"/>
                <w:szCs w:val="20"/>
              </w:rPr>
              <w:t>Not known</w:t>
            </w:r>
          </w:p>
        </w:tc>
      </w:tr>
      <w:tr w:rsidR="00C1767B" w:rsidRPr="00B512AC" w14:paraId="409D79DF" w14:textId="77777777" w:rsidTr="00D35A5A">
        <w:trPr>
          <w:cantSplit/>
        </w:trPr>
        <w:tc>
          <w:tcPr>
            <w:tcW w:w="1555" w:type="dxa"/>
            <w:shd w:val="clear" w:color="auto" w:fill="auto"/>
          </w:tcPr>
          <w:p w14:paraId="734C1A88" w14:textId="3CD2F974" w:rsidR="006F2960" w:rsidRPr="00D35A5A" w:rsidRDefault="006F2960">
            <w:pPr>
              <w:spacing w:after="0"/>
              <w:rPr>
                <w:rFonts w:ascii="Verdana" w:hAnsi="Verdana"/>
                <w:sz w:val="18"/>
                <w:szCs w:val="20"/>
              </w:rPr>
            </w:pPr>
            <w:r w:rsidRPr="00D35A5A">
              <w:rPr>
                <w:rFonts w:ascii="Verdana" w:hAnsi="Verdana"/>
                <w:sz w:val="18"/>
                <w:szCs w:val="20"/>
              </w:rPr>
              <w:t xml:space="preserve">Practicality </w:t>
            </w:r>
          </w:p>
        </w:tc>
        <w:tc>
          <w:tcPr>
            <w:tcW w:w="1417" w:type="dxa"/>
            <w:shd w:val="clear" w:color="auto" w:fill="auto"/>
          </w:tcPr>
          <w:p w14:paraId="49A2D3FC" w14:textId="3FE3ECEC" w:rsidR="00F9695C" w:rsidRPr="00D35A5A" w:rsidRDefault="00FC5C8B">
            <w:pPr>
              <w:spacing w:after="0"/>
              <w:rPr>
                <w:rFonts w:ascii="Verdana" w:hAnsi="Verdana"/>
                <w:b/>
                <w:sz w:val="18"/>
                <w:szCs w:val="20"/>
              </w:rPr>
            </w:pPr>
            <w:r w:rsidRPr="00D35A5A">
              <w:rPr>
                <w:rFonts w:ascii="Verdana" w:hAnsi="Verdana"/>
                <w:b/>
                <w:sz w:val="18"/>
                <w:szCs w:val="20"/>
              </w:rPr>
              <w:t>High</w:t>
            </w:r>
            <w:r w:rsidR="00F9695C">
              <w:rPr>
                <w:rFonts w:ascii="Verdana" w:hAnsi="Verdana"/>
                <w:b/>
                <w:sz w:val="18"/>
                <w:szCs w:val="20"/>
              </w:rPr>
              <w:t xml:space="preserve"> </w:t>
            </w:r>
            <w:r w:rsidR="00F9695C" w:rsidRPr="00D35A5A">
              <w:rPr>
                <w:rFonts w:ascii="Verdana" w:hAnsi="Verdana"/>
                <w:sz w:val="18"/>
                <w:szCs w:val="20"/>
              </w:rPr>
              <w:t xml:space="preserve">– </w:t>
            </w:r>
            <w:r w:rsidR="00F9695C">
              <w:rPr>
                <w:rFonts w:ascii="Verdana" w:hAnsi="Verdana"/>
                <w:sz w:val="18"/>
                <w:szCs w:val="20"/>
              </w:rPr>
              <w:t>provided that a suitable analytical method is developed</w:t>
            </w:r>
            <w:r w:rsidR="00F9695C">
              <w:rPr>
                <w:rFonts w:ascii="Verdana" w:hAnsi="Verdana"/>
                <w:b/>
                <w:sz w:val="18"/>
                <w:szCs w:val="20"/>
              </w:rPr>
              <w:t xml:space="preserve"> </w:t>
            </w:r>
          </w:p>
        </w:tc>
        <w:tc>
          <w:tcPr>
            <w:tcW w:w="1701" w:type="dxa"/>
            <w:shd w:val="clear" w:color="auto" w:fill="auto"/>
          </w:tcPr>
          <w:p w14:paraId="71AAEFCF" w14:textId="1497EC20" w:rsidR="006F2960" w:rsidRPr="00D35A5A" w:rsidRDefault="00FC5C8B" w:rsidP="00FC5C8B">
            <w:pPr>
              <w:spacing w:after="0"/>
              <w:rPr>
                <w:rFonts w:ascii="Verdana" w:hAnsi="Verdana"/>
                <w:b/>
                <w:sz w:val="18"/>
                <w:szCs w:val="20"/>
              </w:rPr>
            </w:pPr>
            <w:r w:rsidRPr="00D35A5A">
              <w:rPr>
                <w:rFonts w:ascii="Verdana" w:hAnsi="Verdana"/>
                <w:b/>
                <w:sz w:val="18"/>
                <w:szCs w:val="20"/>
              </w:rPr>
              <w:t xml:space="preserve">Low </w:t>
            </w:r>
            <w:r w:rsidRPr="00D35A5A">
              <w:rPr>
                <w:rFonts w:ascii="Verdana" w:hAnsi="Verdana"/>
                <w:sz w:val="18"/>
                <w:szCs w:val="20"/>
              </w:rPr>
              <w:t>– a large number of uses could potentially require authorisation</w:t>
            </w:r>
          </w:p>
        </w:tc>
        <w:tc>
          <w:tcPr>
            <w:tcW w:w="1134" w:type="dxa"/>
            <w:shd w:val="clear" w:color="auto" w:fill="auto"/>
          </w:tcPr>
          <w:p w14:paraId="45BECEA9" w14:textId="438A30CE" w:rsidR="006F2960" w:rsidRPr="00D35A5A" w:rsidRDefault="00F9695C" w:rsidP="00B20579">
            <w:pPr>
              <w:spacing w:after="0"/>
              <w:rPr>
                <w:rFonts w:ascii="Verdana" w:hAnsi="Verdana"/>
                <w:b/>
                <w:sz w:val="18"/>
                <w:szCs w:val="20"/>
              </w:rPr>
            </w:pPr>
            <w:r>
              <w:rPr>
                <w:rFonts w:ascii="Verdana" w:hAnsi="Verdana"/>
                <w:b/>
                <w:sz w:val="18"/>
                <w:szCs w:val="20"/>
              </w:rPr>
              <w:t>Not known</w:t>
            </w:r>
          </w:p>
        </w:tc>
        <w:tc>
          <w:tcPr>
            <w:tcW w:w="1276" w:type="dxa"/>
            <w:shd w:val="clear" w:color="auto" w:fill="auto"/>
          </w:tcPr>
          <w:p w14:paraId="440B09FA" w14:textId="6FB8E21E" w:rsidR="006F2960" w:rsidRPr="00D35A5A" w:rsidRDefault="00F9695C" w:rsidP="00B20579">
            <w:pPr>
              <w:spacing w:after="0"/>
              <w:rPr>
                <w:rFonts w:ascii="Verdana" w:hAnsi="Verdana"/>
                <w:b/>
                <w:sz w:val="18"/>
                <w:szCs w:val="20"/>
              </w:rPr>
            </w:pPr>
            <w:r>
              <w:rPr>
                <w:rFonts w:ascii="Verdana" w:hAnsi="Verdana"/>
                <w:b/>
                <w:sz w:val="18"/>
                <w:szCs w:val="20"/>
              </w:rPr>
              <w:t>As restriction</w:t>
            </w:r>
          </w:p>
        </w:tc>
        <w:tc>
          <w:tcPr>
            <w:tcW w:w="1276" w:type="dxa"/>
          </w:tcPr>
          <w:p w14:paraId="78FA97C6" w14:textId="09A56F29" w:rsidR="006F2960" w:rsidRPr="00D35A5A" w:rsidRDefault="00F9695C" w:rsidP="00B20579">
            <w:pPr>
              <w:spacing w:after="0"/>
              <w:rPr>
                <w:rFonts w:ascii="Verdana" w:hAnsi="Verdana" w:cs="Wingdings"/>
                <w:b/>
                <w:sz w:val="18"/>
                <w:szCs w:val="20"/>
              </w:rPr>
            </w:pPr>
            <w:r>
              <w:rPr>
                <w:rFonts w:ascii="Verdana" w:hAnsi="Verdana"/>
                <w:b/>
                <w:sz w:val="18"/>
                <w:szCs w:val="20"/>
              </w:rPr>
              <w:t>Not known</w:t>
            </w:r>
          </w:p>
        </w:tc>
      </w:tr>
      <w:tr w:rsidR="00C1767B" w:rsidRPr="00B512AC" w14:paraId="7A67C5B7" w14:textId="77777777" w:rsidTr="00861D95">
        <w:trPr>
          <w:cantSplit/>
        </w:trPr>
        <w:tc>
          <w:tcPr>
            <w:tcW w:w="1555" w:type="dxa"/>
            <w:shd w:val="clear" w:color="auto" w:fill="auto"/>
          </w:tcPr>
          <w:p w14:paraId="74592C10" w14:textId="04B8A4D8" w:rsidR="006F2960" w:rsidRPr="00D35A5A" w:rsidRDefault="006F2960" w:rsidP="00631E2C">
            <w:pPr>
              <w:spacing w:after="0"/>
              <w:rPr>
                <w:rFonts w:ascii="Verdana" w:hAnsi="Verdana"/>
                <w:sz w:val="18"/>
                <w:szCs w:val="20"/>
              </w:rPr>
            </w:pPr>
            <w:r w:rsidRPr="00D35A5A">
              <w:rPr>
                <w:rFonts w:ascii="Verdana" w:hAnsi="Verdana"/>
                <w:sz w:val="18"/>
                <w:szCs w:val="20"/>
              </w:rPr>
              <w:lastRenderedPageBreak/>
              <w:t>Proportionality (cost effectiveness)</w:t>
            </w:r>
          </w:p>
        </w:tc>
        <w:tc>
          <w:tcPr>
            <w:tcW w:w="1417" w:type="dxa"/>
            <w:shd w:val="clear" w:color="auto" w:fill="auto"/>
          </w:tcPr>
          <w:p w14:paraId="1BFC49AA" w14:textId="2F9954D5" w:rsidR="006F2960" w:rsidRPr="00D35A5A" w:rsidDel="006478CE" w:rsidRDefault="00F9695C">
            <w:pPr>
              <w:spacing w:after="0"/>
              <w:rPr>
                <w:rFonts w:ascii="Verdana" w:hAnsi="Verdana"/>
                <w:b/>
                <w:sz w:val="18"/>
                <w:szCs w:val="20"/>
                <w:lang w:val="en-GB"/>
              </w:rPr>
            </w:pPr>
            <w:r>
              <w:rPr>
                <w:rFonts w:ascii="Verdana" w:hAnsi="Verdana"/>
                <w:b/>
                <w:sz w:val="18"/>
                <w:szCs w:val="20"/>
                <w:lang w:val="en-GB"/>
              </w:rPr>
              <w:t xml:space="preserve">High </w:t>
            </w:r>
            <w:r w:rsidRPr="00D35A5A">
              <w:rPr>
                <w:rFonts w:ascii="Verdana" w:hAnsi="Verdana"/>
                <w:sz w:val="18"/>
                <w:szCs w:val="20"/>
                <w:lang w:val="en-GB"/>
              </w:rPr>
              <w:t xml:space="preserve">–targeting possible </w:t>
            </w:r>
            <w:r>
              <w:rPr>
                <w:rFonts w:ascii="Verdana" w:hAnsi="Verdana"/>
                <w:sz w:val="18"/>
                <w:szCs w:val="20"/>
                <w:lang w:val="en-GB"/>
              </w:rPr>
              <w:t>if suitable</w:t>
            </w:r>
            <w:r w:rsidRPr="00D35A5A">
              <w:rPr>
                <w:rFonts w:ascii="Verdana" w:hAnsi="Verdana"/>
                <w:sz w:val="18"/>
                <w:szCs w:val="20"/>
                <w:lang w:val="en-GB"/>
              </w:rPr>
              <w:t xml:space="preserve"> </w:t>
            </w:r>
            <w:r w:rsidR="0067706D">
              <w:rPr>
                <w:rFonts w:ascii="Verdana" w:hAnsi="Verdana"/>
                <w:sz w:val="18"/>
                <w:szCs w:val="20"/>
                <w:lang w:val="en-GB"/>
              </w:rPr>
              <w:t xml:space="preserve">exposure and </w:t>
            </w:r>
            <w:r>
              <w:rPr>
                <w:rFonts w:ascii="Verdana" w:hAnsi="Verdana"/>
                <w:sz w:val="18"/>
                <w:szCs w:val="20"/>
                <w:lang w:val="en-GB"/>
              </w:rPr>
              <w:t>socio-economic</w:t>
            </w:r>
            <w:r w:rsidRPr="00D35A5A">
              <w:rPr>
                <w:rFonts w:ascii="Verdana" w:hAnsi="Verdana"/>
                <w:sz w:val="18"/>
                <w:szCs w:val="20"/>
                <w:lang w:val="en-GB"/>
              </w:rPr>
              <w:t xml:space="preserve"> information</w:t>
            </w:r>
            <w:r>
              <w:rPr>
                <w:rFonts w:ascii="Verdana" w:hAnsi="Verdana"/>
                <w:sz w:val="18"/>
                <w:szCs w:val="20"/>
                <w:lang w:val="en-GB"/>
              </w:rPr>
              <w:t xml:space="preserve"> is provided</w:t>
            </w:r>
            <w:r>
              <w:rPr>
                <w:rFonts w:ascii="Verdana" w:hAnsi="Verdana"/>
                <w:b/>
                <w:sz w:val="18"/>
                <w:szCs w:val="20"/>
                <w:lang w:val="en-GB"/>
              </w:rPr>
              <w:t xml:space="preserve"> </w:t>
            </w:r>
          </w:p>
        </w:tc>
        <w:tc>
          <w:tcPr>
            <w:tcW w:w="1701" w:type="dxa"/>
            <w:shd w:val="clear" w:color="auto" w:fill="auto"/>
          </w:tcPr>
          <w:p w14:paraId="38A2CF4E" w14:textId="67F660AB" w:rsidR="006F2960" w:rsidRPr="00D35A5A" w:rsidDel="006478CE" w:rsidRDefault="0067706D" w:rsidP="00B20579">
            <w:pPr>
              <w:spacing w:after="0"/>
              <w:rPr>
                <w:rFonts w:ascii="Verdana" w:hAnsi="Verdana"/>
                <w:b/>
                <w:sz w:val="18"/>
                <w:szCs w:val="20"/>
                <w:lang w:val="en-GB"/>
              </w:rPr>
            </w:pPr>
            <w:r>
              <w:rPr>
                <w:rFonts w:ascii="Verdana" w:hAnsi="Verdana"/>
                <w:b/>
                <w:sz w:val="18"/>
                <w:szCs w:val="20"/>
                <w:lang w:val="en-GB"/>
              </w:rPr>
              <w:t>Medium</w:t>
            </w:r>
            <w:r w:rsidR="00F9695C">
              <w:rPr>
                <w:rFonts w:ascii="Verdana" w:hAnsi="Verdana"/>
                <w:b/>
                <w:sz w:val="18"/>
                <w:szCs w:val="20"/>
                <w:lang w:val="en-GB"/>
              </w:rPr>
              <w:t xml:space="preserve"> </w:t>
            </w:r>
            <w:r w:rsidR="00F9695C" w:rsidRPr="00D35A5A">
              <w:rPr>
                <w:rFonts w:ascii="Verdana" w:hAnsi="Verdana"/>
                <w:sz w:val="18"/>
                <w:szCs w:val="20"/>
                <w:lang w:val="en-GB"/>
              </w:rPr>
              <w:t>– only companies that cannot substitute will need to apply</w:t>
            </w:r>
            <w:r>
              <w:rPr>
                <w:rFonts w:ascii="Verdana" w:hAnsi="Verdana"/>
                <w:sz w:val="18"/>
                <w:szCs w:val="20"/>
                <w:lang w:val="en-GB"/>
              </w:rPr>
              <w:t>, but if there are many applicants, the combined release could still be relatively high</w:t>
            </w:r>
          </w:p>
        </w:tc>
        <w:tc>
          <w:tcPr>
            <w:tcW w:w="1134" w:type="dxa"/>
            <w:shd w:val="clear" w:color="auto" w:fill="auto"/>
          </w:tcPr>
          <w:p w14:paraId="58F7C74A" w14:textId="5878DBE9" w:rsidR="006F2960" w:rsidRPr="00D35A5A" w:rsidRDefault="00F9695C">
            <w:pPr>
              <w:spacing w:after="0"/>
              <w:rPr>
                <w:rFonts w:ascii="Verdana" w:hAnsi="Verdana"/>
                <w:b/>
                <w:sz w:val="18"/>
                <w:szCs w:val="20"/>
              </w:rPr>
            </w:pPr>
            <w:r>
              <w:rPr>
                <w:rFonts w:ascii="Verdana" w:hAnsi="Verdana"/>
                <w:b/>
                <w:sz w:val="18"/>
                <w:szCs w:val="20"/>
              </w:rPr>
              <w:t xml:space="preserve">Not known – </w:t>
            </w:r>
            <w:r w:rsidR="0067706D" w:rsidRPr="00D35A5A">
              <w:rPr>
                <w:rFonts w:ascii="Verdana" w:hAnsi="Verdana"/>
                <w:sz w:val="18"/>
                <w:szCs w:val="20"/>
              </w:rPr>
              <w:t xml:space="preserve">all relevant </w:t>
            </w:r>
            <w:r w:rsidRPr="00D35A5A">
              <w:rPr>
                <w:rFonts w:ascii="Verdana" w:hAnsi="Verdana"/>
                <w:sz w:val="18"/>
                <w:szCs w:val="20"/>
              </w:rPr>
              <w:t xml:space="preserve">uses </w:t>
            </w:r>
            <w:r w:rsidR="0067706D">
              <w:rPr>
                <w:rFonts w:ascii="Verdana" w:hAnsi="Verdana"/>
                <w:sz w:val="18"/>
                <w:szCs w:val="20"/>
              </w:rPr>
              <w:t>are within scope, including those</w:t>
            </w:r>
            <w:r w:rsidR="0067706D" w:rsidRPr="00F9695C">
              <w:rPr>
                <w:rFonts w:ascii="Verdana" w:hAnsi="Verdana"/>
                <w:sz w:val="18"/>
                <w:szCs w:val="20"/>
              </w:rPr>
              <w:t xml:space="preserve"> </w:t>
            </w:r>
            <w:r w:rsidRPr="00D35A5A">
              <w:rPr>
                <w:rFonts w:ascii="Verdana" w:hAnsi="Verdana"/>
                <w:sz w:val="18"/>
                <w:szCs w:val="20"/>
              </w:rPr>
              <w:t>with low emission</w:t>
            </w:r>
            <w:r>
              <w:rPr>
                <w:rFonts w:ascii="Verdana" w:hAnsi="Verdana"/>
                <w:sz w:val="18"/>
                <w:szCs w:val="20"/>
              </w:rPr>
              <w:t xml:space="preserve"> (low risk)</w:t>
            </w:r>
            <w:r w:rsidRPr="00D35A5A">
              <w:rPr>
                <w:rFonts w:ascii="Verdana" w:hAnsi="Verdana"/>
                <w:sz w:val="18"/>
                <w:szCs w:val="20"/>
              </w:rPr>
              <w:t xml:space="preserve"> </w:t>
            </w:r>
          </w:p>
        </w:tc>
        <w:tc>
          <w:tcPr>
            <w:tcW w:w="1276" w:type="dxa"/>
            <w:shd w:val="clear" w:color="auto" w:fill="auto"/>
          </w:tcPr>
          <w:p w14:paraId="34A54790" w14:textId="0F6E8E94" w:rsidR="006F2960" w:rsidRPr="00D35A5A" w:rsidDel="006478CE" w:rsidRDefault="00F9695C" w:rsidP="00B20579">
            <w:pPr>
              <w:spacing w:after="0"/>
              <w:rPr>
                <w:rFonts w:ascii="Verdana" w:hAnsi="Verdana"/>
                <w:b/>
                <w:sz w:val="18"/>
                <w:szCs w:val="20"/>
                <w:lang w:val="en-GB"/>
              </w:rPr>
            </w:pPr>
            <w:r>
              <w:rPr>
                <w:rFonts w:ascii="Verdana" w:hAnsi="Verdana"/>
                <w:b/>
                <w:sz w:val="18"/>
                <w:szCs w:val="20"/>
              </w:rPr>
              <w:t>As restriction</w:t>
            </w:r>
          </w:p>
        </w:tc>
        <w:tc>
          <w:tcPr>
            <w:tcW w:w="1276" w:type="dxa"/>
          </w:tcPr>
          <w:p w14:paraId="320B667E" w14:textId="277F2887" w:rsidR="006F2960" w:rsidRPr="00D35A5A" w:rsidRDefault="00F9695C" w:rsidP="00B20579">
            <w:pPr>
              <w:spacing w:after="0"/>
              <w:rPr>
                <w:rFonts w:ascii="Verdana" w:hAnsi="Verdana" w:cs="Wingdings"/>
                <w:sz w:val="18"/>
                <w:szCs w:val="20"/>
              </w:rPr>
            </w:pPr>
            <w:r>
              <w:rPr>
                <w:rFonts w:ascii="Verdana" w:hAnsi="Verdana"/>
                <w:b/>
                <w:sz w:val="18"/>
                <w:szCs w:val="20"/>
              </w:rPr>
              <w:t>Not known</w:t>
            </w:r>
          </w:p>
        </w:tc>
      </w:tr>
      <w:tr w:rsidR="00F9695C" w:rsidRPr="00B512AC" w14:paraId="23FB7BE2" w14:textId="77777777" w:rsidTr="00D35A5A">
        <w:tc>
          <w:tcPr>
            <w:tcW w:w="1555" w:type="dxa"/>
            <w:shd w:val="clear" w:color="auto" w:fill="auto"/>
          </w:tcPr>
          <w:p w14:paraId="7A18E46E" w14:textId="3A98B3CF" w:rsidR="00F9695C" w:rsidRPr="00D35A5A" w:rsidRDefault="00F9695C">
            <w:pPr>
              <w:spacing w:after="0"/>
              <w:rPr>
                <w:rFonts w:ascii="Verdana" w:hAnsi="Verdana"/>
                <w:sz w:val="18"/>
                <w:szCs w:val="20"/>
              </w:rPr>
            </w:pPr>
            <w:r w:rsidRPr="00D35A5A">
              <w:rPr>
                <w:rFonts w:ascii="Verdana" w:hAnsi="Verdana"/>
                <w:sz w:val="18"/>
                <w:szCs w:val="20"/>
              </w:rPr>
              <w:t xml:space="preserve">Regulatory consistency </w:t>
            </w:r>
          </w:p>
        </w:tc>
        <w:tc>
          <w:tcPr>
            <w:tcW w:w="1417" w:type="dxa"/>
            <w:shd w:val="clear" w:color="auto" w:fill="auto"/>
          </w:tcPr>
          <w:p w14:paraId="28003FFB" w14:textId="0F36CEAA" w:rsidR="00F9695C" w:rsidRPr="00D35A5A" w:rsidRDefault="00F9695C">
            <w:pPr>
              <w:spacing w:after="0"/>
              <w:rPr>
                <w:rFonts w:ascii="Verdana" w:hAnsi="Verdana"/>
                <w:b/>
                <w:sz w:val="18"/>
                <w:szCs w:val="20"/>
              </w:rPr>
            </w:pPr>
            <w:r w:rsidRPr="00D35A5A">
              <w:rPr>
                <w:rFonts w:ascii="Verdana" w:hAnsi="Verdana"/>
                <w:b/>
                <w:sz w:val="18"/>
                <w:szCs w:val="20"/>
                <w:lang w:val="en-GB"/>
              </w:rPr>
              <w:t xml:space="preserve">High </w:t>
            </w:r>
            <w:r w:rsidRPr="00D35A5A">
              <w:rPr>
                <w:rFonts w:ascii="Verdana" w:hAnsi="Verdana"/>
                <w:sz w:val="18"/>
                <w:szCs w:val="20"/>
                <w:lang w:val="en-GB"/>
              </w:rPr>
              <w:t xml:space="preserve">– level playing field for </w:t>
            </w:r>
            <w:r>
              <w:rPr>
                <w:rFonts w:ascii="Verdana" w:hAnsi="Verdana"/>
                <w:sz w:val="18"/>
                <w:szCs w:val="20"/>
                <w:lang w:val="en-GB"/>
              </w:rPr>
              <w:t>domestic</w:t>
            </w:r>
            <w:r w:rsidRPr="00D35A5A">
              <w:rPr>
                <w:rFonts w:ascii="Verdana" w:hAnsi="Verdana"/>
                <w:sz w:val="18"/>
                <w:szCs w:val="20"/>
                <w:lang w:val="en-GB"/>
              </w:rPr>
              <w:t xml:space="preserve"> and imported articles</w:t>
            </w:r>
          </w:p>
        </w:tc>
        <w:tc>
          <w:tcPr>
            <w:tcW w:w="1701" w:type="dxa"/>
            <w:shd w:val="clear" w:color="auto" w:fill="auto"/>
          </w:tcPr>
          <w:p w14:paraId="0F320757" w14:textId="24DED13F" w:rsidR="00F9695C" w:rsidRPr="00D35A5A" w:rsidRDefault="00F9695C">
            <w:pPr>
              <w:spacing w:after="0"/>
              <w:rPr>
                <w:rFonts w:ascii="Verdana" w:hAnsi="Verdana"/>
                <w:sz w:val="18"/>
                <w:szCs w:val="20"/>
              </w:rPr>
            </w:pPr>
            <w:r>
              <w:rPr>
                <w:rFonts w:ascii="Verdana" w:hAnsi="Verdana"/>
                <w:b/>
                <w:sz w:val="18"/>
                <w:szCs w:val="20"/>
              </w:rPr>
              <w:t xml:space="preserve">Medium – </w:t>
            </w:r>
            <w:r>
              <w:rPr>
                <w:rFonts w:ascii="Verdana" w:hAnsi="Verdana"/>
                <w:sz w:val="18"/>
                <w:szCs w:val="20"/>
              </w:rPr>
              <w:t>applicants will be treated equally but imported articles are outside scope</w:t>
            </w:r>
          </w:p>
        </w:tc>
        <w:tc>
          <w:tcPr>
            <w:tcW w:w="1134" w:type="dxa"/>
            <w:shd w:val="clear" w:color="auto" w:fill="auto"/>
          </w:tcPr>
          <w:p w14:paraId="0D505A84" w14:textId="3B040018" w:rsidR="00F9695C" w:rsidRPr="00D35A5A" w:rsidRDefault="00F9695C" w:rsidP="00F9695C">
            <w:pPr>
              <w:spacing w:after="0"/>
              <w:rPr>
                <w:rFonts w:ascii="Verdana" w:hAnsi="Verdana"/>
                <w:sz w:val="18"/>
                <w:szCs w:val="20"/>
              </w:rPr>
            </w:pPr>
            <w:r w:rsidRPr="000E37AC">
              <w:rPr>
                <w:rFonts w:ascii="Verdana" w:hAnsi="Verdana"/>
                <w:b/>
                <w:sz w:val="18"/>
                <w:szCs w:val="20"/>
                <w:lang w:val="en-GB"/>
              </w:rPr>
              <w:t xml:space="preserve">High </w:t>
            </w:r>
            <w:r w:rsidRPr="000E37AC">
              <w:rPr>
                <w:rFonts w:ascii="Verdana" w:hAnsi="Verdana"/>
                <w:sz w:val="18"/>
                <w:szCs w:val="20"/>
                <w:lang w:val="en-GB"/>
              </w:rPr>
              <w:t xml:space="preserve">– level playing field for </w:t>
            </w:r>
            <w:r>
              <w:rPr>
                <w:rFonts w:ascii="Verdana" w:hAnsi="Verdana"/>
                <w:sz w:val="18"/>
                <w:szCs w:val="20"/>
                <w:lang w:val="en-GB"/>
              </w:rPr>
              <w:t>domestic</w:t>
            </w:r>
            <w:r w:rsidRPr="000E37AC">
              <w:rPr>
                <w:rFonts w:ascii="Verdana" w:hAnsi="Verdana"/>
                <w:sz w:val="18"/>
                <w:szCs w:val="20"/>
                <w:lang w:val="en-GB"/>
              </w:rPr>
              <w:t xml:space="preserve"> and imported articles</w:t>
            </w:r>
          </w:p>
        </w:tc>
        <w:tc>
          <w:tcPr>
            <w:tcW w:w="1276" w:type="dxa"/>
            <w:shd w:val="clear" w:color="auto" w:fill="auto"/>
          </w:tcPr>
          <w:p w14:paraId="5EAD3F7C" w14:textId="53ADBBB6" w:rsidR="00F9695C" w:rsidRPr="00D35A5A" w:rsidRDefault="00F9695C" w:rsidP="00F9695C">
            <w:pPr>
              <w:spacing w:after="0"/>
              <w:rPr>
                <w:rFonts w:ascii="Verdana" w:hAnsi="Verdana"/>
                <w:b/>
                <w:sz w:val="18"/>
                <w:szCs w:val="20"/>
              </w:rPr>
            </w:pPr>
            <w:r>
              <w:rPr>
                <w:rFonts w:ascii="Verdana" w:hAnsi="Verdana"/>
                <w:b/>
                <w:sz w:val="18"/>
                <w:szCs w:val="20"/>
              </w:rPr>
              <w:t>As restriction</w:t>
            </w:r>
          </w:p>
        </w:tc>
        <w:tc>
          <w:tcPr>
            <w:tcW w:w="1276" w:type="dxa"/>
          </w:tcPr>
          <w:p w14:paraId="0DEBA3E7" w14:textId="05E40097" w:rsidR="00F9695C" w:rsidRPr="00D35A5A" w:rsidRDefault="00576A33">
            <w:pPr>
              <w:spacing w:after="0"/>
              <w:rPr>
                <w:rFonts w:ascii="Verdana" w:hAnsi="Verdana" w:cs="Wingdings"/>
                <w:sz w:val="18"/>
                <w:szCs w:val="20"/>
              </w:rPr>
            </w:pPr>
            <w:r>
              <w:rPr>
                <w:rFonts w:ascii="Verdana" w:hAnsi="Verdana"/>
                <w:b/>
                <w:sz w:val="18"/>
                <w:szCs w:val="20"/>
              </w:rPr>
              <w:t xml:space="preserve">Medium - </w:t>
            </w:r>
            <w:r w:rsidR="00F9695C" w:rsidRPr="00D35A5A">
              <w:rPr>
                <w:rFonts w:ascii="Verdana" w:hAnsi="Verdana"/>
                <w:sz w:val="18"/>
                <w:szCs w:val="20"/>
              </w:rPr>
              <w:t>Depends on the level of take-up and awareness within supply chains</w:t>
            </w:r>
          </w:p>
        </w:tc>
      </w:tr>
      <w:tr w:rsidR="00F9695C" w:rsidRPr="00B512AC" w14:paraId="28F10C1A" w14:textId="77777777" w:rsidTr="00D35A5A">
        <w:tc>
          <w:tcPr>
            <w:tcW w:w="1555" w:type="dxa"/>
            <w:shd w:val="clear" w:color="auto" w:fill="auto"/>
          </w:tcPr>
          <w:p w14:paraId="01CC51F7" w14:textId="44A307A8" w:rsidR="00F9695C" w:rsidRPr="00D35A5A" w:rsidRDefault="00F9695C">
            <w:pPr>
              <w:spacing w:after="0"/>
              <w:rPr>
                <w:rFonts w:ascii="Verdana" w:hAnsi="Verdana"/>
                <w:sz w:val="18"/>
                <w:szCs w:val="20"/>
              </w:rPr>
            </w:pPr>
            <w:r w:rsidRPr="00D35A5A">
              <w:rPr>
                <w:rFonts w:ascii="Verdana" w:hAnsi="Verdana"/>
                <w:sz w:val="18"/>
                <w:szCs w:val="20"/>
              </w:rPr>
              <w:t xml:space="preserve">Robustness to uncertainty in sources and emissions </w:t>
            </w:r>
          </w:p>
        </w:tc>
        <w:tc>
          <w:tcPr>
            <w:tcW w:w="1417" w:type="dxa"/>
            <w:shd w:val="clear" w:color="auto" w:fill="auto"/>
          </w:tcPr>
          <w:p w14:paraId="16712170" w14:textId="5E64821F" w:rsidR="00F9695C" w:rsidRPr="00D35A5A" w:rsidDel="006478CE" w:rsidRDefault="00576A33">
            <w:pPr>
              <w:spacing w:after="0"/>
              <w:rPr>
                <w:rFonts w:ascii="Verdana" w:hAnsi="Verdana"/>
                <w:b/>
                <w:sz w:val="18"/>
                <w:szCs w:val="20"/>
                <w:lang w:val="en-GB"/>
              </w:rPr>
            </w:pPr>
            <w:r>
              <w:rPr>
                <w:rFonts w:ascii="Verdana" w:hAnsi="Verdana"/>
                <w:b/>
                <w:sz w:val="18"/>
                <w:szCs w:val="20"/>
                <w:lang w:val="en-GB"/>
              </w:rPr>
              <w:t xml:space="preserve">Medium – </w:t>
            </w:r>
            <w:r w:rsidRPr="00D35A5A">
              <w:rPr>
                <w:rFonts w:ascii="Verdana" w:hAnsi="Verdana"/>
                <w:sz w:val="18"/>
                <w:szCs w:val="20"/>
                <w:lang w:val="en-GB"/>
              </w:rPr>
              <w:t xml:space="preserve">level of risk is based on </w:t>
            </w:r>
            <w:r>
              <w:rPr>
                <w:rFonts w:ascii="Verdana" w:hAnsi="Verdana"/>
                <w:sz w:val="18"/>
                <w:szCs w:val="20"/>
                <w:lang w:val="en-GB"/>
              </w:rPr>
              <w:t>available data on emissions</w:t>
            </w:r>
            <w:r>
              <w:rPr>
                <w:rFonts w:ascii="Verdana" w:hAnsi="Verdana"/>
                <w:b/>
                <w:sz w:val="18"/>
                <w:szCs w:val="20"/>
                <w:lang w:val="en-GB"/>
              </w:rPr>
              <w:t xml:space="preserve"> </w:t>
            </w:r>
            <w:r>
              <w:rPr>
                <w:rFonts w:ascii="Verdana" w:hAnsi="Verdana"/>
                <w:sz w:val="18"/>
                <w:szCs w:val="20"/>
                <w:lang w:val="en-GB"/>
              </w:rPr>
              <w:t>and</w:t>
            </w:r>
            <w:r w:rsidRPr="00823B1F">
              <w:rPr>
                <w:rFonts w:ascii="Verdana" w:hAnsi="Verdana"/>
                <w:sz w:val="18"/>
                <w:szCs w:val="20"/>
                <w:lang w:val="en-GB"/>
              </w:rPr>
              <w:t xml:space="preserve"> assumption</w:t>
            </w:r>
            <w:r>
              <w:rPr>
                <w:rFonts w:ascii="Verdana" w:hAnsi="Verdana"/>
                <w:sz w:val="18"/>
                <w:szCs w:val="20"/>
                <w:lang w:val="en-GB"/>
              </w:rPr>
              <w:t>s</w:t>
            </w:r>
          </w:p>
        </w:tc>
        <w:tc>
          <w:tcPr>
            <w:tcW w:w="1701" w:type="dxa"/>
            <w:shd w:val="clear" w:color="auto" w:fill="auto"/>
          </w:tcPr>
          <w:p w14:paraId="0D1C7BB7" w14:textId="5916031E" w:rsidR="00F9695C" w:rsidRPr="00D35A5A" w:rsidDel="006478CE" w:rsidRDefault="00576A33">
            <w:pPr>
              <w:spacing w:after="0"/>
              <w:rPr>
                <w:rFonts w:ascii="Verdana" w:hAnsi="Verdana"/>
                <w:b/>
                <w:sz w:val="18"/>
                <w:szCs w:val="20"/>
                <w:lang w:val="en-GB"/>
              </w:rPr>
            </w:pPr>
            <w:r>
              <w:rPr>
                <w:rFonts w:ascii="Verdana" w:hAnsi="Verdana"/>
                <w:b/>
                <w:sz w:val="18"/>
                <w:szCs w:val="20"/>
                <w:lang w:val="en-GB"/>
              </w:rPr>
              <w:t xml:space="preserve">High </w:t>
            </w:r>
            <w:r w:rsidRPr="00D35A5A">
              <w:rPr>
                <w:rFonts w:ascii="Verdana" w:hAnsi="Verdana"/>
                <w:sz w:val="18"/>
                <w:szCs w:val="20"/>
                <w:lang w:val="en-GB"/>
              </w:rPr>
              <w:t xml:space="preserve">– applicants should be able to provide a </w:t>
            </w:r>
            <w:r w:rsidR="0067706D">
              <w:rPr>
                <w:rFonts w:ascii="Verdana" w:hAnsi="Verdana"/>
                <w:sz w:val="18"/>
                <w:szCs w:val="20"/>
                <w:lang w:val="en-GB"/>
              </w:rPr>
              <w:t>good</w:t>
            </w:r>
            <w:r w:rsidRPr="00D35A5A">
              <w:rPr>
                <w:rFonts w:ascii="Verdana" w:hAnsi="Verdana"/>
                <w:sz w:val="18"/>
                <w:szCs w:val="20"/>
                <w:lang w:val="en-GB"/>
              </w:rPr>
              <w:t xml:space="preserve"> degree of detail about uses</w:t>
            </w:r>
            <w:r>
              <w:rPr>
                <w:rFonts w:ascii="Verdana" w:hAnsi="Verdana"/>
                <w:sz w:val="18"/>
                <w:szCs w:val="20"/>
                <w:lang w:val="en-GB"/>
              </w:rPr>
              <w:t xml:space="preserve"> (losses during service life may be more difficult to assess)</w:t>
            </w:r>
          </w:p>
        </w:tc>
        <w:tc>
          <w:tcPr>
            <w:tcW w:w="1134" w:type="dxa"/>
            <w:shd w:val="clear" w:color="auto" w:fill="auto"/>
          </w:tcPr>
          <w:p w14:paraId="18C2E48A" w14:textId="35E7491F" w:rsidR="00F9695C" w:rsidRPr="00D35A5A" w:rsidRDefault="00576A33">
            <w:pPr>
              <w:spacing w:after="0"/>
              <w:rPr>
                <w:rFonts w:ascii="Verdana" w:hAnsi="Verdana"/>
                <w:b/>
                <w:sz w:val="18"/>
                <w:szCs w:val="20"/>
              </w:rPr>
            </w:pPr>
            <w:r>
              <w:rPr>
                <w:rFonts w:ascii="Verdana" w:hAnsi="Verdana"/>
                <w:b/>
                <w:sz w:val="18"/>
                <w:szCs w:val="20"/>
              </w:rPr>
              <w:t>Medium –</w:t>
            </w:r>
            <w:r>
              <w:rPr>
                <w:rFonts w:ascii="Verdana" w:hAnsi="Verdana"/>
                <w:sz w:val="18"/>
                <w:szCs w:val="20"/>
              </w:rPr>
              <w:t xml:space="preserve"> </w:t>
            </w:r>
            <w:r w:rsidRPr="00D35A5A">
              <w:rPr>
                <w:rFonts w:ascii="Verdana" w:hAnsi="Verdana"/>
                <w:sz w:val="18"/>
                <w:szCs w:val="20"/>
              </w:rPr>
              <w:t>uses</w:t>
            </w:r>
            <w:r>
              <w:rPr>
                <w:rFonts w:ascii="Verdana" w:hAnsi="Verdana"/>
                <w:sz w:val="18"/>
                <w:szCs w:val="20"/>
              </w:rPr>
              <w:t xml:space="preserve"> can be exempted on request if suitable argument is provided</w:t>
            </w:r>
          </w:p>
        </w:tc>
        <w:tc>
          <w:tcPr>
            <w:tcW w:w="1276" w:type="dxa"/>
            <w:shd w:val="clear" w:color="auto" w:fill="auto"/>
          </w:tcPr>
          <w:p w14:paraId="07C6396F" w14:textId="5F3ACAE7" w:rsidR="00F9695C" w:rsidRPr="00D35A5A" w:rsidDel="006478CE" w:rsidRDefault="00576A33" w:rsidP="00F9695C">
            <w:pPr>
              <w:spacing w:after="0"/>
              <w:rPr>
                <w:rFonts w:ascii="Verdana" w:hAnsi="Verdana"/>
                <w:b/>
                <w:sz w:val="18"/>
                <w:szCs w:val="20"/>
                <w:lang w:val="en-GB"/>
              </w:rPr>
            </w:pPr>
            <w:r>
              <w:rPr>
                <w:rFonts w:ascii="Verdana" w:hAnsi="Verdana"/>
                <w:b/>
                <w:sz w:val="18"/>
                <w:szCs w:val="20"/>
              </w:rPr>
              <w:t>As restriction</w:t>
            </w:r>
          </w:p>
        </w:tc>
        <w:tc>
          <w:tcPr>
            <w:tcW w:w="1276" w:type="dxa"/>
          </w:tcPr>
          <w:p w14:paraId="17A17ACF" w14:textId="0A2B9534" w:rsidR="00F9695C" w:rsidRPr="00D35A5A" w:rsidRDefault="00576A33" w:rsidP="00F9695C">
            <w:pPr>
              <w:spacing w:after="0"/>
              <w:rPr>
                <w:rFonts w:ascii="Verdana" w:hAnsi="Verdana" w:cs="Wingdings"/>
                <w:sz w:val="18"/>
                <w:szCs w:val="20"/>
              </w:rPr>
            </w:pPr>
            <w:r w:rsidRPr="00D35A5A">
              <w:rPr>
                <w:rFonts w:ascii="Verdana" w:hAnsi="Verdana" w:cs="Wingdings"/>
                <w:b/>
                <w:sz w:val="18"/>
                <w:szCs w:val="20"/>
              </w:rPr>
              <w:t>Not known</w:t>
            </w:r>
            <w:r>
              <w:rPr>
                <w:rFonts w:ascii="Verdana" w:hAnsi="Verdana" w:cs="Wingdings"/>
                <w:sz w:val="18"/>
                <w:szCs w:val="20"/>
              </w:rPr>
              <w:t xml:space="preserve"> – depends how it would be applied (e.g. all users or based on a threshold)</w:t>
            </w:r>
          </w:p>
        </w:tc>
      </w:tr>
    </w:tbl>
    <w:p w14:paraId="39B96B24" w14:textId="77777777" w:rsidR="001A4BCD" w:rsidRDefault="001A4BCD" w:rsidP="001A4BCD">
      <w:pPr>
        <w:spacing w:after="0"/>
        <w:rPr>
          <w:highlight w:val="yellow"/>
        </w:rPr>
      </w:pPr>
    </w:p>
    <w:p w14:paraId="39B96B25" w14:textId="2D88781A" w:rsidR="00080134" w:rsidRDefault="0067706D" w:rsidP="00D35A5A">
      <w:pPr>
        <w:pStyle w:val="CommentText"/>
        <w:spacing w:after="0"/>
        <w:jc w:val="both"/>
        <w:rPr>
          <w:rFonts w:ascii="Verdana" w:hAnsi="Verdana"/>
        </w:rPr>
      </w:pPr>
      <w:r w:rsidRPr="00D35A5A">
        <w:rPr>
          <w:rFonts w:ascii="Verdana" w:hAnsi="Verdana"/>
        </w:rPr>
        <w:t xml:space="preserve">In </w:t>
      </w:r>
      <w:r>
        <w:rPr>
          <w:rFonts w:ascii="Verdana" w:hAnsi="Verdana"/>
        </w:rPr>
        <w:t>conclusion</w:t>
      </w:r>
      <w:r w:rsidRPr="00D35A5A">
        <w:rPr>
          <w:rFonts w:ascii="Verdana" w:hAnsi="Verdana"/>
        </w:rPr>
        <w:t xml:space="preserve">, the UK CA recommends that </w:t>
      </w:r>
      <w:r w:rsidR="00C861D4" w:rsidRPr="00C861D4">
        <w:rPr>
          <w:rFonts w:ascii="Verdana" w:hAnsi="Verdana"/>
          <w:b/>
        </w:rPr>
        <w:t xml:space="preserve">MCCPs should be included on the Candidate List and </w:t>
      </w:r>
      <w:r w:rsidR="00C126A7">
        <w:rPr>
          <w:rFonts w:ascii="Verdana" w:hAnsi="Verdana"/>
          <w:b/>
        </w:rPr>
        <w:t xml:space="preserve">that </w:t>
      </w:r>
      <w:r w:rsidR="00C861D4" w:rsidRPr="00C861D4">
        <w:rPr>
          <w:rFonts w:ascii="Verdana" w:hAnsi="Verdana"/>
          <w:b/>
        </w:rPr>
        <w:t xml:space="preserve">subsequently </w:t>
      </w:r>
      <w:r w:rsidRPr="00D35A5A">
        <w:rPr>
          <w:rFonts w:ascii="Verdana" w:hAnsi="Verdana"/>
          <w:b/>
        </w:rPr>
        <w:t xml:space="preserve">a REACH restriction </w:t>
      </w:r>
      <w:r w:rsidR="00C126A7">
        <w:rPr>
          <w:rFonts w:ascii="Verdana" w:hAnsi="Verdana"/>
          <w:b/>
        </w:rPr>
        <w:t>should be</w:t>
      </w:r>
      <w:r w:rsidRPr="00D35A5A">
        <w:rPr>
          <w:rFonts w:ascii="Verdana" w:hAnsi="Verdana"/>
          <w:b/>
        </w:rPr>
        <w:t xml:space="preserve"> initiated</w:t>
      </w:r>
      <w:r w:rsidR="00C861D4">
        <w:rPr>
          <w:rFonts w:ascii="Verdana" w:hAnsi="Verdana"/>
          <w:b/>
        </w:rPr>
        <w:t xml:space="preserve">. </w:t>
      </w:r>
      <w:r w:rsidR="00C861D4" w:rsidRPr="00C861D4">
        <w:rPr>
          <w:rFonts w:ascii="Verdana" w:hAnsi="Verdana"/>
        </w:rPr>
        <w:t>The restriction</w:t>
      </w:r>
      <w:r>
        <w:rPr>
          <w:rFonts w:ascii="Verdana" w:hAnsi="Verdana"/>
        </w:rPr>
        <w:t xml:space="preserve"> w</w:t>
      </w:r>
      <w:r w:rsidR="00C126A7">
        <w:rPr>
          <w:rFonts w:ascii="Verdana" w:hAnsi="Verdana"/>
        </w:rPr>
        <w:t>ould</w:t>
      </w:r>
      <w:r>
        <w:rPr>
          <w:rFonts w:ascii="Verdana" w:hAnsi="Verdana"/>
        </w:rPr>
        <w:t xml:space="preserve"> require the</w:t>
      </w:r>
      <w:r w:rsidRPr="00D35A5A">
        <w:rPr>
          <w:rFonts w:ascii="Verdana" w:hAnsi="Verdana"/>
        </w:rPr>
        <w:t xml:space="preserve"> collect</w:t>
      </w:r>
      <w:r>
        <w:rPr>
          <w:rFonts w:ascii="Verdana" w:hAnsi="Verdana"/>
        </w:rPr>
        <w:t>ion of</w:t>
      </w:r>
      <w:r w:rsidRPr="00D35A5A">
        <w:rPr>
          <w:rFonts w:ascii="Verdana" w:hAnsi="Verdana"/>
        </w:rPr>
        <w:t xml:space="preserve"> </w:t>
      </w:r>
      <w:r w:rsidRPr="008806D4">
        <w:rPr>
          <w:rFonts w:ascii="Verdana" w:hAnsi="Verdana"/>
        </w:rPr>
        <w:t xml:space="preserve">additional </w:t>
      </w:r>
      <w:r w:rsidRPr="00D35A5A">
        <w:rPr>
          <w:rFonts w:ascii="Verdana" w:hAnsi="Verdana"/>
        </w:rPr>
        <w:t>relevant socio-economic data and better information on releases</w:t>
      </w:r>
      <w:r>
        <w:rPr>
          <w:rFonts w:ascii="Verdana" w:hAnsi="Verdana"/>
        </w:rPr>
        <w:t>, if possible</w:t>
      </w:r>
      <w:r w:rsidRPr="00D35A5A">
        <w:rPr>
          <w:rFonts w:ascii="Verdana" w:hAnsi="Verdana"/>
        </w:rPr>
        <w:t>.</w:t>
      </w:r>
      <w:r>
        <w:rPr>
          <w:rFonts w:ascii="Verdana" w:hAnsi="Verdana"/>
        </w:rPr>
        <w:t xml:space="preserve"> This could </w:t>
      </w:r>
      <w:r w:rsidR="00C861D4">
        <w:rPr>
          <w:rFonts w:ascii="Verdana" w:hAnsi="Verdana"/>
        </w:rPr>
        <w:t xml:space="preserve">then </w:t>
      </w:r>
      <w:r>
        <w:rPr>
          <w:rFonts w:ascii="Verdana" w:hAnsi="Verdana"/>
        </w:rPr>
        <w:t xml:space="preserve">form the basis of </w:t>
      </w:r>
      <w:r w:rsidRPr="00D35A5A">
        <w:rPr>
          <w:rFonts w:ascii="Verdana" w:hAnsi="Verdana"/>
          <w:b/>
        </w:rPr>
        <w:t>a subsequent POP nomination</w:t>
      </w:r>
      <w:r>
        <w:rPr>
          <w:rFonts w:ascii="Verdana" w:hAnsi="Verdana"/>
        </w:rPr>
        <w:t>.</w:t>
      </w:r>
      <w:r w:rsidRPr="00D35A5A">
        <w:rPr>
          <w:rFonts w:ascii="Verdana" w:hAnsi="Verdana"/>
        </w:rPr>
        <w:t xml:space="preserve"> It may be possible to co-operate with non-EU countries such as Switzerland, Canada and Australia</w:t>
      </w:r>
      <w:r>
        <w:rPr>
          <w:rFonts w:ascii="Verdana" w:hAnsi="Verdana"/>
        </w:rPr>
        <w:t xml:space="preserve"> in this regard</w:t>
      </w:r>
      <w:r w:rsidRPr="00D35A5A">
        <w:rPr>
          <w:rFonts w:ascii="Verdana" w:hAnsi="Verdana"/>
        </w:rPr>
        <w:t>.</w:t>
      </w:r>
    </w:p>
    <w:p w14:paraId="48D09A4D" w14:textId="77777777" w:rsidR="0067706D" w:rsidRPr="00D35A5A" w:rsidRDefault="0067706D" w:rsidP="00D35A5A">
      <w:pPr>
        <w:pStyle w:val="CommentText"/>
        <w:spacing w:after="0"/>
        <w:jc w:val="both"/>
        <w:rPr>
          <w:rFonts w:ascii="Verdana" w:hAnsi="Verdana"/>
        </w:rPr>
      </w:pPr>
    </w:p>
    <w:p w14:paraId="39B96B26" w14:textId="77777777" w:rsidR="00080134" w:rsidRDefault="00080134" w:rsidP="00080134">
      <w:pPr>
        <w:pStyle w:val="Heading2"/>
        <w:tabs>
          <w:tab w:val="clear" w:pos="839"/>
          <w:tab w:val="num" w:pos="540"/>
        </w:tabs>
        <w:spacing w:before="240"/>
        <w:ind w:left="540" w:hanging="540"/>
        <w:rPr>
          <w:szCs w:val="24"/>
        </w:rPr>
      </w:pPr>
      <w:r>
        <w:rPr>
          <w:szCs w:val="24"/>
        </w:rPr>
        <w:t>References</w:t>
      </w:r>
    </w:p>
    <w:bookmarkEnd w:id="25"/>
    <w:bookmarkEnd w:id="26"/>
    <w:p w14:paraId="09A134E4" w14:textId="247E2CF8" w:rsidR="000F7971" w:rsidRDefault="00E36ECC" w:rsidP="000F7971">
      <w:pPr>
        <w:pStyle w:val="BodyText"/>
        <w:rPr>
          <w:rFonts w:ascii="Verdana" w:hAnsi="Verdana"/>
          <w:sz w:val="20"/>
        </w:rPr>
      </w:pPr>
      <w:r>
        <w:rPr>
          <w:rFonts w:ascii="Verdana" w:hAnsi="Verdana"/>
          <w:sz w:val="20"/>
        </w:rPr>
        <w:t>EA (2010)</w:t>
      </w:r>
      <w:r w:rsidR="00D25456">
        <w:rPr>
          <w:rFonts w:ascii="Verdana" w:hAnsi="Verdana"/>
          <w:sz w:val="20"/>
        </w:rPr>
        <w:t>.</w:t>
      </w:r>
      <w:r w:rsidR="00D25456" w:rsidRPr="00D25456">
        <w:t xml:space="preserve"> </w:t>
      </w:r>
      <w:r w:rsidR="00D25456" w:rsidRPr="00D25456">
        <w:rPr>
          <w:rFonts w:ascii="Verdana" w:hAnsi="Verdana"/>
          <w:sz w:val="20"/>
        </w:rPr>
        <w:t>Analysis of the most appropriate risk management options for Alkanes, C14-17, Chloro (Medium Chain Chlorinated Paraffins)</w:t>
      </w:r>
      <w:r w:rsidR="00D25456">
        <w:rPr>
          <w:rFonts w:ascii="Verdana" w:hAnsi="Verdana"/>
          <w:sz w:val="20"/>
        </w:rPr>
        <w:t>.</w:t>
      </w:r>
    </w:p>
    <w:p w14:paraId="4FF1D188" w14:textId="77777777" w:rsidR="000F7971" w:rsidRDefault="000F7971" w:rsidP="000F7971">
      <w:pPr>
        <w:pStyle w:val="BodyText"/>
        <w:rPr>
          <w:rFonts w:ascii="Verdana" w:hAnsi="Verdana"/>
          <w:sz w:val="20"/>
        </w:rPr>
      </w:pPr>
      <w:r w:rsidRPr="000F7971">
        <w:rPr>
          <w:rFonts w:ascii="Verdana" w:hAnsi="Verdana"/>
          <w:sz w:val="20"/>
        </w:rPr>
        <w:t>EC (2005). European Union Risk Assessment Report: Alkanes, C</w:t>
      </w:r>
      <w:r w:rsidRPr="000F7971">
        <w:rPr>
          <w:rFonts w:ascii="Verdana" w:hAnsi="Verdana"/>
          <w:sz w:val="20"/>
          <w:vertAlign w:val="subscript"/>
        </w:rPr>
        <w:t>14-17</w:t>
      </w:r>
      <w:r w:rsidRPr="000F7971">
        <w:rPr>
          <w:rFonts w:ascii="Verdana" w:hAnsi="Verdana"/>
          <w:sz w:val="20"/>
        </w:rPr>
        <w:t>, chloro- . 3rd Priority List, Volume 58. European Commission Joint Research Centre, EUR 21640 EN.</w:t>
      </w:r>
    </w:p>
    <w:p w14:paraId="5E286CD1" w14:textId="27460682" w:rsidR="00E36ECC" w:rsidRDefault="0066361A" w:rsidP="000F7971">
      <w:pPr>
        <w:pStyle w:val="BodyText"/>
        <w:rPr>
          <w:rFonts w:ascii="Verdana" w:hAnsi="Verdana"/>
          <w:sz w:val="20"/>
        </w:rPr>
      </w:pPr>
      <w:hyperlink r:id="rId28" w:history="1">
        <w:r w:rsidR="00E36ECC" w:rsidRPr="003C05CB">
          <w:rPr>
            <w:rStyle w:val="Hyperlink"/>
            <w:rFonts w:ascii="Verdana" w:hAnsi="Verdana"/>
          </w:rPr>
          <w:t>https://ec.europa.eu/jrc/en/publication/eur-scientific-and-technical-research-reports/european-union-risk-assessment-report-alkanes-c14-17-chloro-addendum-final-report-2007-risk</w:t>
        </w:r>
      </w:hyperlink>
    </w:p>
    <w:p w14:paraId="0B003343" w14:textId="77777777" w:rsidR="000F7971" w:rsidRPr="000F7971" w:rsidRDefault="000F7971" w:rsidP="000F7971">
      <w:pPr>
        <w:pStyle w:val="BodyText"/>
        <w:rPr>
          <w:rFonts w:ascii="Verdana" w:hAnsi="Verdana"/>
          <w:sz w:val="20"/>
        </w:rPr>
      </w:pPr>
      <w:r w:rsidRPr="000F7971">
        <w:rPr>
          <w:rFonts w:ascii="Verdana" w:hAnsi="Verdana"/>
          <w:sz w:val="20"/>
        </w:rPr>
        <w:t xml:space="preserve">EC (2007). European Union Risk Assessment Report: Alkanes, C10-13, chloro-. Final Combined Draft updated risk assessment, August 2007. Accessed (2 May 2012) at </w:t>
      </w:r>
      <w:hyperlink r:id="rId29" w:history="1">
        <w:r w:rsidRPr="000F7971">
          <w:rPr>
            <w:rStyle w:val="Hyperlink"/>
            <w:rFonts w:ascii="Verdana" w:hAnsi="Verdana"/>
          </w:rPr>
          <w:t>http://esis.jrc.ec.europa.eu/doc/risk_assessment/ADDENDUM/sccp_add_010.pdf</w:t>
        </w:r>
      </w:hyperlink>
      <w:r w:rsidRPr="000F7971">
        <w:rPr>
          <w:rFonts w:ascii="Verdana" w:hAnsi="Verdana"/>
          <w:sz w:val="20"/>
        </w:rPr>
        <w:t>.</w:t>
      </w:r>
    </w:p>
    <w:p w14:paraId="585D1EA3" w14:textId="63482DB5" w:rsidR="00DC2253" w:rsidRDefault="000F7971" w:rsidP="00D35A5A">
      <w:pPr>
        <w:pStyle w:val="BodyText"/>
        <w:rPr>
          <w:rFonts w:ascii="Verdana" w:hAnsi="Verdana"/>
          <w:sz w:val="20"/>
        </w:rPr>
      </w:pPr>
      <w:proofErr w:type="spellStart"/>
      <w:r w:rsidRPr="000F7971">
        <w:rPr>
          <w:rFonts w:ascii="Verdana" w:hAnsi="Verdana"/>
          <w:sz w:val="20"/>
        </w:rPr>
        <w:lastRenderedPageBreak/>
        <w:t>Gl</w:t>
      </w:r>
      <w:r w:rsidR="00C1767B">
        <w:rPr>
          <w:rFonts w:ascii="Verdana" w:hAnsi="Verdana"/>
          <w:sz w:val="20"/>
        </w:rPr>
        <w:t>ü</w:t>
      </w:r>
      <w:r w:rsidRPr="000F7971">
        <w:rPr>
          <w:rFonts w:ascii="Verdana" w:hAnsi="Verdana"/>
          <w:sz w:val="20"/>
        </w:rPr>
        <w:t>ge</w:t>
      </w:r>
      <w:proofErr w:type="spellEnd"/>
      <w:r w:rsidRPr="000F7971">
        <w:rPr>
          <w:rFonts w:ascii="Verdana" w:hAnsi="Verdana"/>
          <w:sz w:val="20"/>
        </w:rPr>
        <w:t xml:space="preserve"> </w:t>
      </w:r>
      <w:r w:rsidR="00C1767B" w:rsidRPr="00D35A5A">
        <w:rPr>
          <w:rFonts w:ascii="Verdana" w:hAnsi="Verdana"/>
          <w:sz w:val="20"/>
        </w:rPr>
        <w:t xml:space="preserve">J, Schinkel L, </w:t>
      </w:r>
      <w:proofErr w:type="spellStart"/>
      <w:r w:rsidR="00C1767B" w:rsidRPr="00D35A5A">
        <w:rPr>
          <w:rFonts w:ascii="Verdana" w:hAnsi="Verdana"/>
          <w:sz w:val="20"/>
        </w:rPr>
        <w:t>Hungerb</w:t>
      </w:r>
      <w:r w:rsidR="00C1767B">
        <w:rPr>
          <w:rFonts w:ascii="Verdana" w:hAnsi="Verdana"/>
          <w:sz w:val="20"/>
        </w:rPr>
        <w:t>ü</w:t>
      </w:r>
      <w:r w:rsidR="00C1767B" w:rsidRPr="00D35A5A">
        <w:rPr>
          <w:rFonts w:ascii="Verdana" w:hAnsi="Verdana"/>
          <w:sz w:val="20"/>
        </w:rPr>
        <w:t>hler</w:t>
      </w:r>
      <w:proofErr w:type="spellEnd"/>
      <w:r w:rsidR="00C1767B" w:rsidRPr="00D35A5A">
        <w:rPr>
          <w:rFonts w:ascii="Verdana" w:hAnsi="Verdana"/>
          <w:sz w:val="20"/>
        </w:rPr>
        <w:t xml:space="preserve"> K, </w:t>
      </w:r>
      <w:proofErr w:type="spellStart"/>
      <w:r w:rsidR="00C1767B" w:rsidRPr="00D35A5A">
        <w:rPr>
          <w:rFonts w:ascii="Verdana" w:hAnsi="Verdana"/>
          <w:sz w:val="20"/>
        </w:rPr>
        <w:t>Cariou</w:t>
      </w:r>
      <w:proofErr w:type="spellEnd"/>
      <w:r w:rsidR="00C1767B" w:rsidRPr="00D35A5A">
        <w:rPr>
          <w:rFonts w:ascii="Verdana" w:hAnsi="Verdana"/>
          <w:sz w:val="20"/>
        </w:rPr>
        <w:t xml:space="preserve"> R and </w:t>
      </w:r>
      <w:proofErr w:type="spellStart"/>
      <w:r w:rsidR="00C1767B" w:rsidRPr="00D35A5A">
        <w:rPr>
          <w:rFonts w:ascii="Verdana" w:hAnsi="Verdana"/>
          <w:sz w:val="20"/>
        </w:rPr>
        <w:t>Bogdal</w:t>
      </w:r>
      <w:proofErr w:type="spellEnd"/>
      <w:r w:rsidR="00C1767B" w:rsidRPr="00D35A5A">
        <w:rPr>
          <w:rFonts w:ascii="Verdana" w:hAnsi="Verdana"/>
          <w:sz w:val="20"/>
        </w:rPr>
        <w:t xml:space="preserve"> C</w:t>
      </w:r>
      <w:r w:rsidR="00C1767B">
        <w:rPr>
          <w:rFonts w:ascii="Verdana" w:hAnsi="Verdana"/>
          <w:sz w:val="20"/>
        </w:rPr>
        <w:t xml:space="preserve"> </w:t>
      </w:r>
      <w:r w:rsidRPr="000F7971">
        <w:rPr>
          <w:rFonts w:ascii="Verdana" w:hAnsi="Verdana"/>
          <w:sz w:val="20"/>
        </w:rPr>
        <w:t>(2018)</w:t>
      </w:r>
      <w:r w:rsidR="00C1767B">
        <w:rPr>
          <w:rFonts w:ascii="Verdana" w:hAnsi="Verdana"/>
          <w:sz w:val="20"/>
        </w:rPr>
        <w:t xml:space="preserve">. </w:t>
      </w:r>
      <w:r w:rsidRPr="000F7971">
        <w:rPr>
          <w:rFonts w:ascii="Verdana" w:hAnsi="Verdana"/>
          <w:sz w:val="20"/>
        </w:rPr>
        <w:t>Environmental Risks of Medium-Chain Chlorinated Paraffins (</w:t>
      </w:r>
      <w:r w:rsidR="000578F2">
        <w:rPr>
          <w:rFonts w:ascii="Verdana" w:hAnsi="Verdana"/>
          <w:sz w:val="20"/>
        </w:rPr>
        <w:t>MCCPs</w:t>
      </w:r>
      <w:r w:rsidRPr="000F7971">
        <w:rPr>
          <w:rFonts w:ascii="Verdana" w:hAnsi="Verdana"/>
          <w:sz w:val="20"/>
        </w:rPr>
        <w:t>):</w:t>
      </w:r>
      <w:r w:rsidR="00C1767B">
        <w:rPr>
          <w:rFonts w:ascii="Verdana" w:hAnsi="Verdana"/>
          <w:sz w:val="20"/>
        </w:rPr>
        <w:t xml:space="preserve"> </w:t>
      </w:r>
      <w:r w:rsidRPr="000F7971">
        <w:rPr>
          <w:rFonts w:ascii="Verdana" w:hAnsi="Verdana"/>
          <w:sz w:val="20"/>
        </w:rPr>
        <w:t>A Review</w:t>
      </w:r>
      <w:r>
        <w:rPr>
          <w:rFonts w:ascii="Verdana" w:hAnsi="Verdana"/>
          <w:sz w:val="20"/>
        </w:rPr>
        <w:t>.</w:t>
      </w:r>
      <w:r w:rsidRPr="000F7971">
        <w:t xml:space="preserve"> </w:t>
      </w:r>
      <w:r w:rsidRPr="000F7971">
        <w:rPr>
          <w:rFonts w:ascii="Verdana" w:hAnsi="Verdana"/>
          <w:sz w:val="20"/>
        </w:rPr>
        <w:t>Environ. Sci. Technol., 52, 6743−6760</w:t>
      </w:r>
      <w:r>
        <w:rPr>
          <w:rFonts w:ascii="Verdana" w:hAnsi="Verdana"/>
          <w:sz w:val="20"/>
        </w:rPr>
        <w:t>.</w:t>
      </w:r>
    </w:p>
    <w:p w14:paraId="6ABC8DF4" w14:textId="293244A9" w:rsidR="00E36ECC" w:rsidRDefault="0066361A" w:rsidP="00D35A5A">
      <w:pPr>
        <w:pStyle w:val="BodyText"/>
        <w:rPr>
          <w:rFonts w:ascii="Verdana" w:hAnsi="Verdana"/>
          <w:sz w:val="20"/>
        </w:rPr>
      </w:pPr>
      <w:hyperlink r:id="rId30" w:history="1">
        <w:r w:rsidR="00E36ECC" w:rsidRPr="003C05CB">
          <w:rPr>
            <w:rStyle w:val="Hyperlink"/>
            <w:rFonts w:ascii="Verdana" w:hAnsi="Verdana"/>
          </w:rPr>
          <w:t>https://www.ncbi.nlm.nih.gov/pubmed/29791144</w:t>
        </w:r>
      </w:hyperlink>
    </w:p>
    <w:p w14:paraId="31F9D89B" w14:textId="77777777" w:rsidR="00E36ECC" w:rsidRDefault="00E36ECC" w:rsidP="00E36ECC">
      <w:pPr>
        <w:pStyle w:val="BodyText"/>
        <w:rPr>
          <w:rFonts w:ascii="Verdana" w:hAnsi="Verdana"/>
          <w:sz w:val="20"/>
        </w:rPr>
      </w:pPr>
      <w:r>
        <w:rPr>
          <w:rFonts w:ascii="Verdana" w:hAnsi="Verdana"/>
          <w:sz w:val="20"/>
        </w:rPr>
        <w:t>HSE</w:t>
      </w:r>
      <w:r w:rsidRPr="000F7971">
        <w:rPr>
          <w:rFonts w:ascii="Verdana" w:hAnsi="Verdana"/>
          <w:sz w:val="20"/>
        </w:rPr>
        <w:t xml:space="preserve"> (20</w:t>
      </w:r>
      <w:r>
        <w:rPr>
          <w:rFonts w:ascii="Verdana" w:hAnsi="Verdana"/>
          <w:sz w:val="20"/>
        </w:rPr>
        <w:t>08</w:t>
      </w:r>
      <w:r w:rsidRPr="000F7971">
        <w:rPr>
          <w:rFonts w:ascii="Verdana" w:hAnsi="Verdana"/>
          <w:sz w:val="20"/>
        </w:rPr>
        <w:t>) Conclusion of substance evaluation for transitional dossiers for Medium-chain chlorinated paraffins</w:t>
      </w:r>
    </w:p>
    <w:p w14:paraId="0ABDBAF0" w14:textId="58F784A7" w:rsidR="00E36ECC" w:rsidRDefault="0066361A" w:rsidP="00E36ECC">
      <w:pPr>
        <w:spacing w:after="0"/>
        <w:rPr>
          <w:rFonts w:ascii="Verdana" w:hAnsi="Verdana"/>
          <w:sz w:val="20"/>
          <w:szCs w:val="20"/>
        </w:rPr>
      </w:pPr>
      <w:hyperlink r:id="rId31" w:history="1">
        <w:r w:rsidR="00E36ECC" w:rsidRPr="003C05CB">
          <w:rPr>
            <w:rStyle w:val="Hyperlink"/>
            <w:rFonts w:ascii="Verdana" w:hAnsi="Verdana"/>
          </w:rPr>
          <w:t>https://echa.europa.eu/documents/10162/13630/trd_uk_mccp_en.pdf/99f3adcd-6481-46f7-a3de-3961158fcf94</w:t>
        </w:r>
      </w:hyperlink>
    </w:p>
    <w:p w14:paraId="2BB944C2" w14:textId="77777777" w:rsidR="00E36ECC" w:rsidRDefault="00E36ECC" w:rsidP="006B3EC8">
      <w:pPr>
        <w:spacing w:after="0"/>
        <w:rPr>
          <w:rFonts w:ascii="Verdana" w:hAnsi="Verdana"/>
          <w:sz w:val="20"/>
          <w:szCs w:val="20"/>
        </w:rPr>
      </w:pPr>
    </w:p>
    <w:p w14:paraId="076D3F7D" w14:textId="31E5AB4F" w:rsidR="00DC2253" w:rsidRPr="000F7971" w:rsidRDefault="000F7971" w:rsidP="006B3EC8">
      <w:pPr>
        <w:spacing w:after="0"/>
        <w:rPr>
          <w:rFonts w:ascii="Verdana" w:hAnsi="Verdana"/>
          <w:sz w:val="20"/>
          <w:szCs w:val="20"/>
        </w:rPr>
      </w:pPr>
      <w:r w:rsidRPr="000F7971">
        <w:rPr>
          <w:rFonts w:ascii="Verdana" w:hAnsi="Verdana"/>
          <w:sz w:val="20"/>
          <w:szCs w:val="20"/>
        </w:rPr>
        <w:t>KEMI (2018).</w:t>
      </w:r>
      <w:r w:rsidR="00C1767B">
        <w:rPr>
          <w:rFonts w:ascii="Verdana" w:hAnsi="Verdana"/>
          <w:sz w:val="20"/>
          <w:szCs w:val="20"/>
        </w:rPr>
        <w:t xml:space="preserve"> </w:t>
      </w:r>
      <w:r w:rsidR="00F77520">
        <w:rPr>
          <w:rFonts w:ascii="Verdana" w:hAnsi="Verdana"/>
          <w:sz w:val="20"/>
          <w:szCs w:val="20"/>
        </w:rPr>
        <w:t>RoHS</w:t>
      </w:r>
      <w:r w:rsidRPr="000F7971">
        <w:rPr>
          <w:rFonts w:ascii="Verdana" w:hAnsi="Verdana"/>
          <w:sz w:val="20"/>
          <w:szCs w:val="20"/>
        </w:rPr>
        <w:t xml:space="preserve"> Annex II Dossier </w:t>
      </w:r>
      <w:r w:rsidR="000578F2">
        <w:rPr>
          <w:rFonts w:ascii="Verdana" w:hAnsi="Verdana"/>
          <w:sz w:val="20"/>
          <w:szCs w:val="20"/>
        </w:rPr>
        <w:t>MCCPs</w:t>
      </w:r>
      <w:r w:rsidRPr="000F7971">
        <w:rPr>
          <w:rFonts w:ascii="Verdana" w:hAnsi="Verdana"/>
          <w:sz w:val="20"/>
          <w:szCs w:val="20"/>
        </w:rPr>
        <w:t xml:space="preserve">. Proposal for a restriction of a substance in electrical and electronic equipment under RoHS.  </w:t>
      </w:r>
    </w:p>
    <w:p w14:paraId="321E748C" w14:textId="77777777" w:rsidR="000F7971" w:rsidRDefault="000F7971" w:rsidP="000F7971">
      <w:pPr>
        <w:spacing w:after="0"/>
        <w:rPr>
          <w:i/>
        </w:rPr>
      </w:pPr>
    </w:p>
    <w:p w14:paraId="0DAC4694" w14:textId="69351972" w:rsidR="000F7971" w:rsidRDefault="0066361A" w:rsidP="000F7971">
      <w:pPr>
        <w:spacing w:after="0"/>
        <w:rPr>
          <w:rFonts w:ascii="Verdana" w:hAnsi="Verdana"/>
          <w:sz w:val="20"/>
          <w:szCs w:val="20"/>
        </w:rPr>
      </w:pPr>
      <w:hyperlink r:id="rId32" w:history="1">
        <w:r w:rsidR="00E36ECC" w:rsidRPr="003C05CB">
          <w:rPr>
            <w:rStyle w:val="Hyperlink"/>
            <w:rFonts w:ascii="Verdana" w:hAnsi="Verdana"/>
            <w:szCs w:val="20"/>
          </w:rPr>
          <w:t>https://ec.europa.eu/environment/waste/rohs_eee/pdf/SE%20ROHS%20Annex%20II%20Dossier%20MCCP.pdf</w:t>
        </w:r>
      </w:hyperlink>
    </w:p>
    <w:p w14:paraId="0C520D62" w14:textId="77777777" w:rsidR="00E36ECC" w:rsidRPr="00E36ECC" w:rsidRDefault="00E36ECC" w:rsidP="000F7971">
      <w:pPr>
        <w:spacing w:after="0"/>
        <w:rPr>
          <w:rFonts w:ascii="Verdana" w:hAnsi="Verdana"/>
          <w:sz w:val="20"/>
          <w:szCs w:val="20"/>
        </w:rPr>
      </w:pPr>
    </w:p>
    <w:p w14:paraId="4BC51BED" w14:textId="7C1F00D1" w:rsidR="000F7971" w:rsidRDefault="001F334D" w:rsidP="001F334D">
      <w:pPr>
        <w:spacing w:after="0"/>
        <w:rPr>
          <w:rFonts w:ascii="Verdana" w:hAnsi="Verdana"/>
          <w:sz w:val="20"/>
          <w:szCs w:val="20"/>
        </w:rPr>
      </w:pPr>
      <w:proofErr w:type="spellStart"/>
      <w:r w:rsidRPr="001F334D">
        <w:rPr>
          <w:rFonts w:ascii="Verdana" w:hAnsi="Verdana"/>
          <w:sz w:val="20"/>
          <w:szCs w:val="20"/>
        </w:rPr>
        <w:t>Pilke</w:t>
      </w:r>
      <w:proofErr w:type="spellEnd"/>
      <w:r w:rsidRPr="001F334D">
        <w:rPr>
          <w:rFonts w:ascii="Verdana" w:hAnsi="Verdana"/>
          <w:sz w:val="20"/>
          <w:szCs w:val="20"/>
        </w:rPr>
        <w:t xml:space="preserve"> et al. (2012).How to control and manage hazardous substances in the Baltic Sea region? Final summary report of the COHIBA project</w:t>
      </w:r>
      <w:r>
        <w:rPr>
          <w:rFonts w:ascii="Verdana" w:hAnsi="Verdana"/>
          <w:sz w:val="20"/>
          <w:szCs w:val="20"/>
        </w:rPr>
        <w:t>. COHIBA Project Consortium.</w:t>
      </w:r>
    </w:p>
    <w:p w14:paraId="71058728" w14:textId="77777777" w:rsidR="001F334D" w:rsidRPr="001F334D" w:rsidRDefault="001F334D" w:rsidP="001F334D">
      <w:pPr>
        <w:spacing w:after="0"/>
        <w:rPr>
          <w:rFonts w:ascii="Verdana" w:hAnsi="Verdana"/>
          <w:sz w:val="20"/>
          <w:szCs w:val="20"/>
        </w:rPr>
      </w:pPr>
    </w:p>
    <w:p w14:paraId="63CD2C43" w14:textId="7A57979E" w:rsidR="000F7971" w:rsidRDefault="0066361A" w:rsidP="000F7971">
      <w:pPr>
        <w:spacing w:after="0"/>
        <w:rPr>
          <w:rStyle w:val="Hyperlink"/>
          <w:rFonts w:ascii="Verdana" w:hAnsi="Verdana"/>
          <w:szCs w:val="20"/>
        </w:rPr>
      </w:pPr>
      <w:hyperlink r:id="rId33" w:history="1">
        <w:r w:rsidR="001F334D" w:rsidRPr="0092627F">
          <w:rPr>
            <w:rStyle w:val="Hyperlink"/>
            <w:rFonts w:ascii="Verdana" w:hAnsi="Verdana"/>
            <w:szCs w:val="20"/>
          </w:rPr>
          <w:t>https://www.lung.mv-regierung.de/dateien/a3_cohiba_final_summary_report_2012.pdf</w:t>
        </w:r>
      </w:hyperlink>
    </w:p>
    <w:p w14:paraId="1DFB83E1" w14:textId="2DE77A98" w:rsidR="0067706D" w:rsidRDefault="0067706D">
      <w:pPr>
        <w:spacing w:after="0"/>
        <w:rPr>
          <w:rFonts w:ascii="Times New Roman Bold" w:hAnsi="Times New Roman Bold"/>
          <w:b/>
          <w:i/>
          <w:caps/>
          <w:szCs w:val="20"/>
          <w:lang w:val="en-GB"/>
        </w:rPr>
      </w:pPr>
    </w:p>
    <w:sectPr w:rsidR="0067706D" w:rsidSect="00E00989">
      <w:pgSz w:w="11906" w:h="16838" w:code="9"/>
      <w:pgMar w:top="1418" w:right="1797" w:bottom="1134" w:left="179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6B84" w14:textId="77777777" w:rsidR="0066361A" w:rsidRDefault="0066361A" w:rsidP="00255FD3">
      <w:r>
        <w:separator/>
      </w:r>
    </w:p>
  </w:endnote>
  <w:endnote w:type="continuationSeparator" w:id="0">
    <w:p w14:paraId="39B96B85" w14:textId="77777777" w:rsidR="0066361A" w:rsidRDefault="0066361A" w:rsidP="0025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6B8E" w14:textId="77777777" w:rsidR="0066361A" w:rsidRPr="00926DC2" w:rsidRDefault="0066361A" w:rsidP="00926DC2">
    <w:pPr>
      <w:pStyle w:val="Footer"/>
      <w:spacing w:after="0"/>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6B92" w14:textId="77777777" w:rsidR="0066361A" w:rsidRPr="004C0EB1" w:rsidRDefault="0066361A" w:rsidP="006A20E6">
    <w:pPr>
      <w:shd w:val="clear" w:color="auto" w:fill="D9D9D9" w:themeFill="background1" w:themeFillShade="D9"/>
      <w:spacing w:after="0"/>
      <w:rPr>
        <w:rFonts w:ascii="Verdana" w:hAnsi="Verdana"/>
        <w:bCs/>
        <w:i/>
        <w:sz w:val="20"/>
        <w:szCs w:val="20"/>
        <w:shd w:val="clear" w:color="auto" w:fill="D9D9D9" w:themeFill="background1" w:themeFillShade="D9"/>
        <w:lang w:val="en-GB" w:eastAsia="en-GB"/>
      </w:rPr>
    </w:pPr>
    <w:r w:rsidRPr="004C0EB1">
      <w:rPr>
        <w:rFonts w:ascii="Verdana" w:hAnsi="Verdana"/>
        <w:b/>
        <w:bCs/>
        <w:i/>
        <w:sz w:val="20"/>
        <w:szCs w:val="20"/>
        <w:shd w:val="clear" w:color="auto" w:fill="D9D9D9" w:themeFill="background1" w:themeFillShade="D9"/>
        <w:lang w:val="en-GB" w:eastAsia="en-GB"/>
      </w:rPr>
      <w:t>Note:</w:t>
    </w:r>
    <w:r w:rsidRPr="004C0EB1">
      <w:rPr>
        <w:rFonts w:ascii="Verdana" w:hAnsi="Verdana"/>
        <w:bCs/>
        <w:i/>
        <w:sz w:val="20"/>
        <w:szCs w:val="20"/>
        <w:shd w:val="clear" w:color="auto" w:fill="D9D9D9" w:themeFill="background1" w:themeFillShade="D9"/>
        <w:lang w:val="en-GB" w:eastAsia="en-GB"/>
      </w:rPr>
      <w:t xml:space="preserve"> The grey-shaded sections are mostly intended for RMOA</w:t>
    </w:r>
  </w:p>
  <w:p w14:paraId="39B96B93" w14:textId="77777777" w:rsidR="0066361A" w:rsidRPr="006A20E6" w:rsidRDefault="0066361A" w:rsidP="006A20E6">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6B94" w14:textId="27975341" w:rsidR="0066361A" w:rsidRPr="00583FA6" w:rsidRDefault="0066361A" w:rsidP="00583FA6">
    <w:pPr>
      <w:pStyle w:val="Footer"/>
      <w:tabs>
        <w:tab w:val="clear" w:pos="4153"/>
        <w:tab w:val="clear" w:pos="8306"/>
        <w:tab w:val="left" w:pos="284"/>
        <w:tab w:val="center" w:pos="4395"/>
        <w:tab w:val="right" w:pos="8789"/>
      </w:tabs>
      <w:spacing w:after="0"/>
      <w:ind w:left="-426" w:right="360"/>
      <w:rPr>
        <w:rFonts w:ascii="Verdana" w:hAnsi="Verdana"/>
        <w:sz w:val="18"/>
        <w:szCs w:val="18"/>
      </w:rPr>
    </w:pPr>
    <w:r w:rsidRPr="009A61C8">
      <w:rPr>
        <w:rFonts w:ascii="Verdana" w:hAnsi="Verdana"/>
        <w:sz w:val="18"/>
        <w:szCs w:val="18"/>
      </w:rPr>
      <w:t xml:space="preserve">EC no </w:t>
    </w:r>
    <w:r w:rsidRPr="00C11D81">
      <w:rPr>
        <w:rFonts w:ascii="Verdana" w:hAnsi="Verdana"/>
        <w:sz w:val="18"/>
        <w:szCs w:val="18"/>
      </w:rPr>
      <w:t>287-477-0</w:t>
    </w:r>
    <w:r w:rsidRPr="009A61C8">
      <w:rPr>
        <w:rFonts w:ascii="Verdana" w:hAnsi="Verdana"/>
        <w:sz w:val="18"/>
        <w:szCs w:val="18"/>
      </w:rPr>
      <w:tab/>
    </w:r>
    <w:r>
      <w:rPr>
        <w:rFonts w:ascii="Verdana" w:hAnsi="Verdana"/>
        <w:sz w:val="18"/>
        <w:szCs w:val="18"/>
      </w:rPr>
      <w:t xml:space="preserve">Environment Agency for </w:t>
    </w:r>
    <w:r w:rsidRPr="009A61C8">
      <w:rPr>
        <w:rFonts w:ascii="Verdana" w:hAnsi="Verdana"/>
        <w:sz w:val="18"/>
        <w:szCs w:val="18"/>
      </w:rPr>
      <w:t xml:space="preserve">MSCA </w:t>
    </w:r>
    <w:r>
      <w:rPr>
        <w:rFonts w:ascii="Verdana" w:hAnsi="Verdana"/>
        <w:sz w:val="18"/>
        <w:szCs w:val="18"/>
      </w:rPr>
      <w:t>–</w:t>
    </w:r>
    <w:r w:rsidRPr="009A61C8">
      <w:rPr>
        <w:rFonts w:ascii="Verdana" w:hAnsi="Verdana"/>
        <w:sz w:val="18"/>
        <w:szCs w:val="18"/>
      </w:rPr>
      <w:t xml:space="preserve"> </w:t>
    </w:r>
    <w:r>
      <w:rPr>
        <w:rFonts w:ascii="Verdana" w:hAnsi="Verdana"/>
        <w:sz w:val="18"/>
        <w:szCs w:val="18"/>
      </w:rPr>
      <w:t>United Kingdom</w:t>
    </w:r>
    <w:r>
      <w:rPr>
        <w:rFonts w:ascii="Verdana" w:hAnsi="Verdana"/>
        <w:sz w:val="18"/>
        <w:szCs w:val="18"/>
      </w:rPr>
      <w:tab/>
    </w:r>
    <w:r w:rsidRPr="009320DD">
      <w:rPr>
        <w:rFonts w:ascii="Verdana" w:hAnsi="Verdana"/>
        <w:sz w:val="18"/>
        <w:szCs w:val="18"/>
      </w:rPr>
      <w:t xml:space="preserve">Page </w:t>
    </w:r>
    <w:r w:rsidRPr="009320DD">
      <w:rPr>
        <w:rFonts w:ascii="Verdana" w:hAnsi="Verdana"/>
        <w:sz w:val="18"/>
        <w:szCs w:val="18"/>
      </w:rPr>
      <w:fldChar w:fldCharType="begin"/>
    </w:r>
    <w:r w:rsidRPr="009320DD">
      <w:rPr>
        <w:rFonts w:ascii="Verdana" w:hAnsi="Verdana"/>
        <w:sz w:val="18"/>
        <w:szCs w:val="18"/>
      </w:rPr>
      <w:instrText xml:space="preserve"> PAGE </w:instrText>
    </w:r>
    <w:r w:rsidRPr="009320DD">
      <w:rPr>
        <w:rFonts w:ascii="Verdana" w:hAnsi="Verdana"/>
        <w:sz w:val="18"/>
        <w:szCs w:val="18"/>
      </w:rPr>
      <w:fldChar w:fldCharType="separate"/>
    </w:r>
    <w:r w:rsidR="008A4FC8">
      <w:rPr>
        <w:rFonts w:ascii="Verdana" w:hAnsi="Verdana"/>
        <w:noProof/>
        <w:sz w:val="18"/>
        <w:szCs w:val="18"/>
      </w:rPr>
      <w:t>38</w:t>
    </w:r>
    <w:r w:rsidRPr="009320DD">
      <w:rPr>
        <w:rFonts w:ascii="Verdana" w:hAnsi="Verdana"/>
        <w:sz w:val="18"/>
        <w:szCs w:val="18"/>
      </w:rPr>
      <w:fldChar w:fldCharType="end"/>
    </w:r>
    <w:r w:rsidRPr="009320DD">
      <w:rPr>
        <w:rFonts w:ascii="Verdana" w:hAnsi="Verdana"/>
        <w:sz w:val="18"/>
        <w:szCs w:val="18"/>
      </w:rPr>
      <w:t xml:space="preserve"> of </w:t>
    </w:r>
    <w:r w:rsidRPr="009320DD">
      <w:rPr>
        <w:rFonts w:ascii="Verdana" w:hAnsi="Verdana"/>
        <w:sz w:val="18"/>
        <w:szCs w:val="18"/>
      </w:rPr>
      <w:fldChar w:fldCharType="begin"/>
    </w:r>
    <w:r w:rsidRPr="009320DD">
      <w:rPr>
        <w:rFonts w:ascii="Verdana" w:hAnsi="Verdana"/>
        <w:sz w:val="18"/>
        <w:szCs w:val="18"/>
      </w:rPr>
      <w:instrText xml:space="preserve"> NUMPAGES </w:instrText>
    </w:r>
    <w:r w:rsidRPr="009320DD">
      <w:rPr>
        <w:rFonts w:ascii="Verdana" w:hAnsi="Verdana"/>
        <w:sz w:val="18"/>
        <w:szCs w:val="18"/>
      </w:rPr>
      <w:fldChar w:fldCharType="separate"/>
    </w:r>
    <w:r w:rsidR="008A4FC8">
      <w:rPr>
        <w:rFonts w:ascii="Verdana" w:hAnsi="Verdana"/>
        <w:noProof/>
        <w:sz w:val="18"/>
        <w:szCs w:val="18"/>
      </w:rPr>
      <w:t>39</w:t>
    </w:r>
    <w:r w:rsidRPr="009320DD">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96B82" w14:textId="77777777" w:rsidR="0066361A" w:rsidRDefault="0066361A" w:rsidP="00255FD3">
      <w:r>
        <w:separator/>
      </w:r>
    </w:p>
  </w:footnote>
  <w:footnote w:type="continuationSeparator" w:id="0">
    <w:p w14:paraId="39B96B83" w14:textId="77777777" w:rsidR="0066361A" w:rsidRDefault="0066361A" w:rsidP="00255FD3">
      <w:r>
        <w:continuationSeparator/>
      </w:r>
    </w:p>
  </w:footnote>
  <w:footnote w:id="1">
    <w:p w14:paraId="4B6AA981" w14:textId="6C61B45E" w:rsidR="0066361A" w:rsidRPr="00233053" w:rsidRDefault="0066361A" w:rsidP="00150B1C">
      <w:pPr>
        <w:autoSpaceDE w:val="0"/>
        <w:autoSpaceDN w:val="0"/>
        <w:adjustRightInd w:val="0"/>
        <w:spacing w:after="120"/>
        <w:jc w:val="both"/>
        <w:rPr>
          <w:rFonts w:ascii="Verdana" w:hAnsi="Verdana"/>
          <w:sz w:val="18"/>
          <w:szCs w:val="18"/>
        </w:rPr>
      </w:pPr>
      <w:r w:rsidRPr="00233053">
        <w:rPr>
          <w:rStyle w:val="FootnoteReference"/>
          <w:rFonts w:ascii="Verdana" w:hAnsi="Verdana"/>
          <w:sz w:val="18"/>
          <w:szCs w:val="18"/>
        </w:rPr>
        <w:footnoteRef/>
      </w:r>
      <w:r w:rsidRPr="00233053">
        <w:rPr>
          <w:rFonts w:ascii="Verdana" w:hAnsi="Verdana"/>
          <w:sz w:val="18"/>
          <w:szCs w:val="18"/>
        </w:rPr>
        <w:t xml:space="preserve"> </w:t>
      </w:r>
      <w:r w:rsidRPr="00233053">
        <w:rPr>
          <w:rFonts w:ascii="Verdana" w:hAnsi="Verdana" w:cs="ArialMT"/>
          <w:sz w:val="18"/>
          <w:szCs w:val="18"/>
        </w:rPr>
        <w:t>Involving at least two substances: Paraffin oils, chloro (CAS no. 85422-92-0, EC no. 287-196-3; and Paraffin waxes and hydrocarbon waxes, chloro (CAS no. 63449-39-8, EC no. 264-150-0).</w:t>
      </w:r>
    </w:p>
  </w:footnote>
  <w:footnote w:id="2">
    <w:p w14:paraId="66C4DEAB" w14:textId="1127DADD" w:rsidR="0066361A" w:rsidRPr="00C11D81" w:rsidRDefault="0066361A" w:rsidP="00150B1C">
      <w:pPr>
        <w:jc w:val="both"/>
        <w:rPr>
          <w:rFonts w:ascii="Verdana" w:hAnsi="Verdana"/>
          <w:sz w:val="18"/>
          <w:szCs w:val="18"/>
          <w:lang w:val="en-GB"/>
        </w:rPr>
      </w:pPr>
      <w:r w:rsidRPr="00C11D81">
        <w:rPr>
          <w:rStyle w:val="FootnoteReference"/>
          <w:rFonts w:ascii="Verdana" w:hAnsi="Verdana"/>
          <w:sz w:val="18"/>
          <w:szCs w:val="18"/>
        </w:rPr>
        <w:footnoteRef/>
      </w:r>
      <w:r w:rsidRPr="00C11D81">
        <w:rPr>
          <w:rFonts w:ascii="Verdana" w:hAnsi="Verdana"/>
          <w:sz w:val="18"/>
          <w:szCs w:val="18"/>
          <w:lang w:val="en-GB"/>
        </w:rPr>
        <w:t xml:space="preserve"> Production and all uses are scheduled for elimination, with the exception of use as a fire retardant in dam sealants and rubber used in conveyor belts in the mining industry. Parties should take action to eliminate these uses once suitable alternatives are available. </w:t>
      </w:r>
    </w:p>
    <w:p w14:paraId="299F3518" w14:textId="77777777" w:rsidR="0066361A" w:rsidRPr="00BC4FC2" w:rsidRDefault="0066361A" w:rsidP="00363E16">
      <w:pPr>
        <w:spacing w:line="255" w:lineRule="exact"/>
        <w:rPr>
          <w:sz w:val="18"/>
          <w:szCs w:val="18"/>
          <w:lang w:val="en-GB"/>
        </w:rPr>
      </w:pPr>
    </w:p>
    <w:p w14:paraId="5BC4A492" w14:textId="77777777" w:rsidR="0066361A" w:rsidRDefault="0066361A" w:rsidP="00363E16">
      <w:pPr>
        <w:pStyle w:val="FootnoteText"/>
      </w:pPr>
    </w:p>
  </w:footnote>
  <w:footnote w:id="3">
    <w:p w14:paraId="39B96BA0" w14:textId="4A26238F" w:rsidR="0066361A" w:rsidRDefault="0066361A" w:rsidP="00E87AB8">
      <w:pPr>
        <w:pStyle w:val="FootnoteText"/>
      </w:pPr>
      <w:r w:rsidRPr="00FA015A">
        <w:rPr>
          <w:rStyle w:val="FootnoteReference"/>
          <w:rFonts w:ascii="Verdana" w:hAnsi="Verdana"/>
        </w:rPr>
        <w:footnoteRef/>
      </w:r>
      <w:r>
        <w:t xml:space="preserve"> </w:t>
      </w:r>
      <w:r>
        <w:rPr>
          <w:rFonts w:ascii="Verdana" w:hAnsi="Verdana"/>
          <w:sz w:val="16"/>
          <w:szCs w:val="16"/>
        </w:rPr>
        <w:t xml:space="preserve">C&amp;L Inventory database, </w:t>
      </w:r>
      <w:hyperlink r:id="rId1" w:history="1">
        <w:r w:rsidRPr="00904836">
          <w:rPr>
            <w:rStyle w:val="Hyperlink"/>
            <w:rFonts w:ascii="Verdana" w:hAnsi="Verdana"/>
            <w:sz w:val="16"/>
            <w:szCs w:val="16"/>
          </w:rPr>
          <w:t>http://echa.europa.eu/web/guest/information-on-chemicals/cl-inventory-database</w:t>
        </w:r>
      </w:hyperlink>
      <w:r w:rsidRPr="00904836">
        <w:rPr>
          <w:rFonts w:ascii="Verdana" w:hAnsi="Verdana"/>
          <w:sz w:val="16"/>
          <w:szCs w:val="16"/>
        </w:rPr>
        <w:t xml:space="preserve"> (accessed </w:t>
      </w:r>
      <w:r>
        <w:rPr>
          <w:rFonts w:ascii="Verdana" w:hAnsi="Verdana"/>
          <w:sz w:val="16"/>
          <w:szCs w:val="16"/>
        </w:rPr>
        <w:t>August 2019)</w:t>
      </w:r>
    </w:p>
  </w:footnote>
  <w:footnote w:id="4">
    <w:p w14:paraId="39B96BA1" w14:textId="49B6F045" w:rsidR="0066361A" w:rsidRDefault="0066361A" w:rsidP="00942E3F">
      <w:pPr>
        <w:pStyle w:val="FootnoteText"/>
      </w:pPr>
      <w:r w:rsidRPr="00C93DBD">
        <w:rPr>
          <w:rStyle w:val="FootnoteReference"/>
          <w:rFonts w:ascii="Verdana" w:hAnsi="Verdana"/>
          <w:sz w:val="16"/>
          <w:szCs w:val="16"/>
        </w:rPr>
        <w:footnoteRef/>
      </w:r>
      <w:r w:rsidRPr="00C93DBD">
        <w:rPr>
          <w:rFonts w:ascii="Verdana" w:hAnsi="Verdana"/>
          <w:sz w:val="16"/>
          <w:szCs w:val="16"/>
        </w:rPr>
        <w:t xml:space="preserve"> </w:t>
      </w:r>
      <w:r>
        <w:rPr>
          <w:rFonts w:ascii="Verdana" w:hAnsi="Verdana"/>
          <w:i/>
          <w:sz w:val="16"/>
          <w:szCs w:val="16"/>
        </w:rPr>
        <w:t xml:space="preserve">ECHA dissemination site </w:t>
      </w:r>
      <w:r w:rsidRPr="00C93DBD">
        <w:rPr>
          <w:rFonts w:ascii="Verdana" w:hAnsi="Verdana"/>
          <w:i/>
          <w:sz w:val="16"/>
          <w:szCs w:val="16"/>
        </w:rPr>
        <w:t>accessed</w:t>
      </w:r>
      <w:r>
        <w:rPr>
          <w:rFonts w:ascii="Verdana" w:hAnsi="Verdana"/>
          <w:i/>
          <w:sz w:val="16"/>
          <w:szCs w:val="16"/>
        </w:rPr>
        <w:t xml:space="preserve"> on 14 August 2019</w:t>
      </w:r>
      <w:r w:rsidRPr="00C93DBD">
        <w:rPr>
          <w:rFonts w:ascii="Verdana" w:hAnsi="Verdana"/>
          <w:i/>
          <w:sz w:val="16"/>
          <w:szCs w:val="16"/>
        </w:rPr>
        <w:t>.</w:t>
      </w:r>
    </w:p>
  </w:footnote>
  <w:footnote w:id="5">
    <w:p w14:paraId="43E1080E" w14:textId="01AAE583" w:rsidR="0066361A" w:rsidRPr="00D35A5A" w:rsidRDefault="0066361A" w:rsidP="00EA772F">
      <w:pPr>
        <w:pStyle w:val="FootnoteText"/>
        <w:rPr>
          <w:rFonts w:ascii="Verdana" w:hAnsi="Verdana"/>
          <w:sz w:val="18"/>
          <w:szCs w:val="18"/>
        </w:rPr>
      </w:pPr>
      <w:r w:rsidRPr="00D35A5A">
        <w:rPr>
          <w:rStyle w:val="FootnoteReference"/>
          <w:rFonts w:ascii="Verdana" w:hAnsi="Verdana"/>
          <w:sz w:val="18"/>
          <w:szCs w:val="18"/>
        </w:rPr>
        <w:footnoteRef/>
      </w:r>
      <w:r w:rsidRPr="00D35A5A">
        <w:rPr>
          <w:rFonts w:ascii="Verdana" w:hAnsi="Verdana"/>
          <w:sz w:val="18"/>
          <w:szCs w:val="18"/>
        </w:rPr>
        <w:t xml:space="preserve"> This assessment of potential alternatives for </w:t>
      </w:r>
      <w:r>
        <w:rPr>
          <w:rFonts w:ascii="Verdana" w:hAnsi="Verdana"/>
          <w:sz w:val="18"/>
          <w:szCs w:val="18"/>
        </w:rPr>
        <w:t>MCCPs</w:t>
      </w:r>
      <w:r w:rsidRPr="00D35A5A">
        <w:rPr>
          <w:rFonts w:ascii="Verdana" w:hAnsi="Verdana"/>
          <w:sz w:val="18"/>
          <w:szCs w:val="18"/>
        </w:rPr>
        <w:t xml:space="preserve"> has not considered the quantities of specific alternatives that may have to be used to achieve the same effect as that provided by </w:t>
      </w:r>
      <w:r>
        <w:rPr>
          <w:rFonts w:ascii="Verdana" w:hAnsi="Verdana"/>
          <w:sz w:val="18"/>
          <w:szCs w:val="18"/>
        </w:rPr>
        <w:t>MCCPs</w:t>
      </w:r>
      <w:r w:rsidRPr="00D35A5A">
        <w:rPr>
          <w:rFonts w:ascii="Verdana" w:hAnsi="Verdana"/>
          <w:sz w:val="18"/>
          <w:szCs w:val="18"/>
        </w:rPr>
        <w:t xml:space="preserve">. Where a substantially greater percentage loading is required for an alternative substance, this can affect the technical properties of a material. It will be necessary to take this into consideration in any decisions about the suitability of alternatives for </w:t>
      </w:r>
      <w:r>
        <w:rPr>
          <w:rFonts w:ascii="Verdana" w:hAnsi="Verdana"/>
          <w:sz w:val="18"/>
          <w:szCs w:val="18"/>
        </w:rPr>
        <w:t>MCCPs</w:t>
      </w:r>
      <w:r w:rsidRPr="00D35A5A">
        <w:rPr>
          <w:rFonts w:ascii="Verdana" w:hAnsi="Verdana"/>
          <w:sz w:val="18"/>
          <w:szCs w:val="18"/>
        </w:rPr>
        <w:t>.</w:t>
      </w:r>
    </w:p>
  </w:footnote>
  <w:footnote w:id="6">
    <w:p w14:paraId="503F9C6A" w14:textId="14338731" w:rsidR="0066361A" w:rsidRPr="00D35A5A" w:rsidRDefault="0066361A" w:rsidP="0095665C">
      <w:pPr>
        <w:pStyle w:val="FootnoteText"/>
        <w:rPr>
          <w:rFonts w:ascii="Verdana" w:hAnsi="Verdana"/>
          <w:sz w:val="18"/>
          <w:szCs w:val="18"/>
          <w:lang w:val="en-GB"/>
        </w:rPr>
      </w:pPr>
      <w:r w:rsidRPr="00D35A5A">
        <w:rPr>
          <w:rStyle w:val="FootnoteReference"/>
          <w:rFonts w:ascii="Verdana" w:hAnsi="Verdana"/>
          <w:sz w:val="18"/>
          <w:szCs w:val="18"/>
        </w:rPr>
        <w:footnoteRef/>
      </w:r>
      <w:r w:rsidRPr="00D35A5A">
        <w:rPr>
          <w:rFonts w:ascii="Verdana" w:hAnsi="Verdana"/>
          <w:sz w:val="18"/>
          <w:szCs w:val="18"/>
        </w:rPr>
        <w:t xml:space="preserve"> https://www.nicnas.gov.au/chemical-information/imap-assessments/imap-assessments/tier-ii-environment-assessments/</w:t>
      </w:r>
      <w:r>
        <w:rPr>
          <w:rFonts w:ascii="Verdana" w:hAnsi="Verdana"/>
          <w:sz w:val="18"/>
          <w:szCs w:val="18"/>
        </w:rPr>
        <w:t>MCCPs</w:t>
      </w:r>
      <w:r w:rsidRPr="00D35A5A">
        <w:rPr>
          <w:rFonts w:ascii="Verdana" w:hAnsi="Verdana"/>
          <w:sz w:val="18"/>
          <w:szCs w:val="18"/>
        </w:rPr>
        <w:t>#RiskCharacterisation</w:t>
      </w:r>
    </w:p>
  </w:footnote>
  <w:footnote w:id="7">
    <w:p w14:paraId="12964D07" w14:textId="3BD9EB1F" w:rsidR="0066361A" w:rsidRPr="00D35A5A" w:rsidRDefault="0066361A">
      <w:pPr>
        <w:pStyle w:val="FootnoteText"/>
        <w:rPr>
          <w:rFonts w:ascii="Verdana" w:hAnsi="Verdana"/>
          <w:sz w:val="18"/>
          <w:szCs w:val="18"/>
          <w:lang w:val="en-GB"/>
        </w:rPr>
      </w:pPr>
      <w:r w:rsidRPr="00D35A5A">
        <w:rPr>
          <w:rStyle w:val="FootnoteReference"/>
          <w:rFonts w:ascii="Verdana" w:hAnsi="Verdana"/>
          <w:sz w:val="18"/>
          <w:szCs w:val="18"/>
        </w:rPr>
        <w:footnoteRef/>
      </w:r>
      <w:r w:rsidRPr="00D35A5A">
        <w:rPr>
          <w:rFonts w:ascii="Verdana" w:hAnsi="Verdana"/>
          <w:sz w:val="18"/>
          <w:szCs w:val="18"/>
        </w:rPr>
        <w:t xml:space="preserve"> https://www.canada.ca/en/environment-climate-change/services/canadian-environmental-protection-act-registry/publications/chlorinated-paraffins.html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6B86" w14:textId="58830862" w:rsidR="0066361A" w:rsidRPr="00AC0E4E" w:rsidRDefault="0066361A" w:rsidP="00BD56EE">
    <w:pPr>
      <w:spacing w:before="120" w:after="0"/>
      <w:ind w:right="-902"/>
      <w:rPr>
        <w:rFonts w:ascii="Verdana" w:hAnsi="Verdana"/>
        <w:caps/>
        <w:sz w:val="20"/>
        <w:szCs w:val="20"/>
        <w:lang w:val="en-GB"/>
      </w:rPr>
    </w:pPr>
    <w:r w:rsidRPr="00AC0E4E">
      <w:rPr>
        <w:rFonts w:ascii="Verdana" w:hAnsi="Verdana"/>
        <w:caps/>
        <w:sz w:val="20"/>
        <w:szCs w:val="20"/>
        <w:lang w:val="en-GB"/>
      </w:rPr>
      <w:t>ANALYSIS OF THE MOST APPROPRIATE RISK MANAGEMENT OPTION (RMOA)</w:t>
    </w:r>
  </w:p>
  <w:p w14:paraId="39B96B88" w14:textId="77777777" w:rsidR="0066361A" w:rsidRPr="00375712" w:rsidRDefault="0066361A" w:rsidP="006A20E6">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p w14:paraId="39B96B89" w14:textId="77777777" w:rsidR="0066361A" w:rsidRDefault="00663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aps/>
        <w:sz w:val="20"/>
      </w:rPr>
      <w:alias w:val="Choose the appropriate title."/>
      <w:tag w:val="Choose the appropriate title"/>
      <w:id w:val="1054965134"/>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Content>
      <w:p w14:paraId="39B96B8F" w14:textId="77777777" w:rsidR="0066361A" w:rsidRPr="00407B62" w:rsidRDefault="0066361A" w:rsidP="002E7A14">
        <w:pPr>
          <w:pStyle w:val="BodyText"/>
          <w:jc w:val="center"/>
          <w:rPr>
            <w:rFonts w:ascii="Verdana" w:hAnsi="Verdana"/>
            <w:caps/>
            <w:sz w:val="20"/>
            <w:lang w:val="en-US"/>
          </w:rPr>
        </w:pPr>
        <w:r>
          <w:rPr>
            <w:rFonts w:ascii="Verdana" w:hAnsi="Verdana"/>
            <w:caps/>
            <w:sz w:val="20"/>
          </w:rPr>
          <w:t>Justification document: Need for Harmonised Classification and Labelling (CLH)</w:t>
        </w:r>
      </w:p>
    </w:sdtContent>
  </w:sdt>
  <w:p w14:paraId="39B96B90" w14:textId="77777777" w:rsidR="0066361A" w:rsidRPr="0016728F" w:rsidRDefault="0066361A" w:rsidP="002E7A14">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sidRPr="0016728F">
      <w:rPr>
        <w:rFonts w:ascii="Verdana" w:hAnsi="Verdana"/>
        <w:b/>
        <w:i/>
        <w:color w:val="FF0000"/>
        <w:sz w:val="22"/>
        <w:szCs w:val="22"/>
        <w:lang w:eastAsia="en-GB"/>
      </w:rPr>
      <w:t>Please only include non-conf</w:t>
    </w:r>
    <w:r>
      <w:rPr>
        <w:rFonts w:ascii="Verdana" w:hAnsi="Verdana"/>
        <w:b/>
        <w:i/>
        <w:color w:val="FF0000"/>
        <w:sz w:val="22"/>
        <w:szCs w:val="22"/>
        <w:lang w:eastAsia="en-GB"/>
      </w:rPr>
      <w:t xml:space="preserve">idential </w:t>
    </w:r>
    <w:r w:rsidRPr="0016728F">
      <w:rPr>
        <w:rFonts w:ascii="Verdana" w:hAnsi="Verdana"/>
        <w:b/>
        <w:i/>
        <w:color w:val="FF0000"/>
        <w:sz w:val="22"/>
        <w:szCs w:val="22"/>
        <w:lang w:eastAsia="en-GB"/>
      </w:rPr>
      <w:t>information.</w:t>
    </w:r>
  </w:p>
  <w:p w14:paraId="39B96B91" w14:textId="77777777" w:rsidR="0066361A" w:rsidRPr="003607CA" w:rsidRDefault="0066361A" w:rsidP="001B7E57">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aps/>
        <w:sz w:val="20"/>
      </w:rPr>
      <w:alias w:val="Choose the appropriate title."/>
      <w:tag w:val="Choose the appropriate title"/>
      <w:id w:val="329262773"/>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Content>
      <w:p w14:paraId="39B96B95" w14:textId="77777777" w:rsidR="0066361A" w:rsidRPr="00407B62" w:rsidRDefault="0066361A" w:rsidP="002E7A14">
        <w:pPr>
          <w:pStyle w:val="BodyText"/>
          <w:jc w:val="center"/>
          <w:rPr>
            <w:rFonts w:ascii="Verdana" w:hAnsi="Verdana"/>
            <w:caps/>
            <w:sz w:val="20"/>
            <w:lang w:val="en-US"/>
          </w:rPr>
        </w:pPr>
        <w:r>
          <w:rPr>
            <w:rFonts w:ascii="Verdana" w:hAnsi="Verdana"/>
            <w:caps/>
            <w:sz w:val="20"/>
          </w:rPr>
          <w:t>Choose the appropriate title from this dropdown menu.</w:t>
        </w:r>
      </w:p>
    </w:sdtContent>
  </w:sdt>
  <w:p w14:paraId="39B96B96" w14:textId="77777777" w:rsidR="0066361A" w:rsidRPr="0016728F" w:rsidRDefault="0066361A" w:rsidP="002E7A14">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sidRPr="0016728F">
      <w:rPr>
        <w:rFonts w:ascii="Verdana" w:hAnsi="Verdana"/>
        <w:b/>
        <w:i/>
        <w:color w:val="FF0000"/>
        <w:sz w:val="22"/>
        <w:szCs w:val="22"/>
        <w:lang w:eastAsia="en-GB"/>
      </w:rPr>
      <w:t>Please only include non-conf</w:t>
    </w:r>
    <w:r>
      <w:rPr>
        <w:rFonts w:ascii="Verdana" w:hAnsi="Verdana"/>
        <w:b/>
        <w:i/>
        <w:color w:val="FF0000"/>
        <w:sz w:val="22"/>
        <w:szCs w:val="22"/>
        <w:lang w:eastAsia="en-GB"/>
      </w:rPr>
      <w:t xml:space="preserve">idential </w:t>
    </w:r>
    <w:r w:rsidRPr="0016728F">
      <w:rPr>
        <w:rFonts w:ascii="Verdana" w:hAnsi="Verdana"/>
        <w:b/>
        <w:i/>
        <w:color w:val="FF0000"/>
        <w:sz w:val="22"/>
        <w:szCs w:val="22"/>
        <w:lang w:eastAsia="en-GB"/>
      </w:rPr>
      <w:t>information.</w:t>
    </w:r>
  </w:p>
  <w:p w14:paraId="39B96B97" w14:textId="77777777" w:rsidR="0066361A" w:rsidRPr="003607CA" w:rsidRDefault="0066361A" w:rsidP="001B7E57">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6B98" w14:textId="77777777" w:rsidR="0066361A" w:rsidRDefault="0066361A" w:rsidP="00BD56EE">
    <w:pPr>
      <w:spacing w:before="120" w:after="0"/>
      <w:ind w:right="-902"/>
      <w:rPr>
        <w:rFonts w:ascii="Verdana" w:hAnsi="Verdana"/>
        <w:caps/>
        <w:sz w:val="20"/>
        <w:szCs w:val="20"/>
        <w:lang w:val="en-GB"/>
      </w:rPr>
    </w:pPr>
    <w:r w:rsidRPr="00BD56EE">
      <w:rPr>
        <w:rFonts w:ascii="Verdana" w:hAnsi="Verdana"/>
        <w:caps/>
        <w:sz w:val="20"/>
        <w:szCs w:val="20"/>
        <w:lang w:val="en-GB"/>
      </w:rPr>
      <w:t>ANALYSIS OF THE MOST APPROPRIATE RISK MANAGEMENT OPTION (RMOA)</w:t>
    </w:r>
  </w:p>
  <w:p w14:paraId="39B96B9A" w14:textId="77777777" w:rsidR="0066361A" w:rsidRPr="00375712" w:rsidRDefault="0066361A" w:rsidP="000B4AE1">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p w14:paraId="39B96B9B" w14:textId="77777777" w:rsidR="0066361A" w:rsidRPr="00375712" w:rsidRDefault="0066361A" w:rsidP="00924CBF">
    <w:pPr>
      <w:spacing w:after="0"/>
      <w:ind w:right="26"/>
      <w:rPr>
        <w:rFonts w:ascii="Verdana" w:hAnsi="Verdana"/>
        <w:sz w:val="20"/>
        <w:szCs w:val="20"/>
        <w:lang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aps/>
        <w:sz w:val="20"/>
      </w:rPr>
      <w:alias w:val="Choose the appropriate title."/>
      <w:tag w:val="Choose the appropriate title"/>
      <w:id w:val="-1729304445"/>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Content>
      <w:p w14:paraId="39B96B9C" w14:textId="77777777" w:rsidR="0066361A" w:rsidRPr="00407B62" w:rsidRDefault="0066361A" w:rsidP="007D3CB7">
        <w:pPr>
          <w:pStyle w:val="BodyText"/>
          <w:jc w:val="center"/>
          <w:rPr>
            <w:rFonts w:ascii="Verdana" w:hAnsi="Verdana"/>
            <w:caps/>
            <w:sz w:val="20"/>
            <w:lang w:val="en-US"/>
          </w:rPr>
        </w:pPr>
        <w:r>
          <w:rPr>
            <w:rFonts w:ascii="Verdana" w:hAnsi="Verdana"/>
            <w:caps/>
            <w:sz w:val="20"/>
          </w:rPr>
          <w:t>Choose the appropriate title from this dropdown menu.</w:t>
        </w:r>
      </w:p>
    </w:sdtContent>
  </w:sdt>
  <w:p w14:paraId="39B96B9D" w14:textId="77777777" w:rsidR="0066361A" w:rsidRPr="0016728F" w:rsidRDefault="0066361A" w:rsidP="007D3CB7">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Pr>
        <w:rFonts w:ascii="Verdana" w:hAnsi="Verdana"/>
        <w:b/>
        <w:i/>
        <w:sz w:val="22"/>
        <w:szCs w:val="22"/>
        <w:lang w:eastAsia="en-GB"/>
      </w:rPr>
      <w:t>This annex contains confidential information</w:t>
    </w:r>
  </w:p>
  <w:p w14:paraId="39B96B9E" w14:textId="77777777" w:rsidR="0066361A" w:rsidRPr="003607CA" w:rsidRDefault="0066361A" w:rsidP="001B7E57">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E33"/>
    <w:multiLevelType w:val="hybridMultilevel"/>
    <w:tmpl w:val="91725B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D355E7F"/>
    <w:multiLevelType w:val="hybridMultilevel"/>
    <w:tmpl w:val="D344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849AE"/>
    <w:multiLevelType w:val="hybridMultilevel"/>
    <w:tmpl w:val="B8E0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D608F"/>
    <w:multiLevelType w:val="multilevel"/>
    <w:tmpl w:val="97E6E8A2"/>
    <w:lvl w:ilvl="0">
      <w:start w:val="1"/>
      <w:numFmt w:val="decimal"/>
      <w:pStyle w:val="Heading1"/>
      <w:lvlText w:val="%1"/>
      <w:lvlJc w:val="left"/>
      <w:pPr>
        <w:tabs>
          <w:tab w:val="num" w:pos="1077"/>
        </w:tabs>
        <w:ind w:left="1077" w:hanging="1077"/>
      </w:pPr>
      <w:rPr>
        <w:rFonts w:ascii="Verdana" w:hAnsi="Verdana" w:hint="default"/>
        <w:b/>
        <w:i w:val="0"/>
        <w:sz w:val="24"/>
        <w:szCs w:val="24"/>
      </w:rPr>
    </w:lvl>
    <w:lvl w:ilvl="1">
      <w:start w:val="1"/>
      <w:numFmt w:val="decimal"/>
      <w:pStyle w:val="Heading2"/>
      <w:lvlText w:val="%1.%2"/>
      <w:lvlJc w:val="left"/>
      <w:pPr>
        <w:tabs>
          <w:tab w:val="num" w:pos="1077"/>
        </w:tabs>
        <w:ind w:left="1077" w:hanging="1077"/>
      </w:pPr>
      <w:rPr>
        <w:rFonts w:ascii="Verdana" w:hAnsi="Verdana" w:hint="default"/>
        <w:b/>
        <w:i w:val="0"/>
        <w:sz w:val="24"/>
      </w:rPr>
    </w:lvl>
    <w:lvl w:ilvl="2">
      <w:start w:val="1"/>
      <w:numFmt w:val="decimal"/>
      <w:pStyle w:val="Heading3"/>
      <w:lvlText w:val="%1.%2.%3"/>
      <w:lvlJc w:val="left"/>
      <w:pPr>
        <w:tabs>
          <w:tab w:val="num" w:pos="1077"/>
        </w:tabs>
        <w:ind w:left="1077" w:hanging="1077"/>
      </w:pPr>
      <w:rPr>
        <w:rFonts w:ascii="Verdana" w:hAnsi="Verdana" w:hint="default"/>
        <w:b/>
        <w:i w:val="0"/>
        <w:sz w:val="24"/>
      </w:rPr>
    </w:lvl>
    <w:lvl w:ilvl="3">
      <w:start w:val="1"/>
      <w:numFmt w:val="decimal"/>
      <w:pStyle w:val="Heading4"/>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A54547"/>
    <w:multiLevelType w:val="hybridMultilevel"/>
    <w:tmpl w:val="F5B6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22D84"/>
    <w:multiLevelType w:val="hybridMultilevel"/>
    <w:tmpl w:val="C2C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944CA"/>
    <w:multiLevelType w:val="hybridMultilevel"/>
    <w:tmpl w:val="9C5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279"/>
    <w:multiLevelType w:val="hybridMultilevel"/>
    <w:tmpl w:val="452C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77528"/>
    <w:multiLevelType w:val="hybridMultilevel"/>
    <w:tmpl w:val="8EF6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A6CDD"/>
    <w:multiLevelType w:val="hybridMultilevel"/>
    <w:tmpl w:val="63F6727C"/>
    <w:lvl w:ilvl="0" w:tplc="FFFFFFFF">
      <w:start w:val="1"/>
      <w:numFmt w:val="bullet"/>
      <w:lvlText w:val="-"/>
      <w:lvlJc w:val="left"/>
      <w:pPr>
        <w:tabs>
          <w:tab w:val="num" w:pos="-3"/>
        </w:tabs>
        <w:ind w:left="-3" w:hanging="360"/>
      </w:pPr>
      <w:rPr>
        <w:rFonts w:ascii="Times New Roman" w:eastAsia="Times New Roman" w:hAnsi="Times New Roman" w:cs="Times New Roman" w:hint="default"/>
      </w:rPr>
    </w:lvl>
    <w:lvl w:ilvl="1" w:tplc="08090003">
      <w:start w:val="1"/>
      <w:numFmt w:val="bullet"/>
      <w:lvlText w:val="o"/>
      <w:lvlJc w:val="left"/>
      <w:pPr>
        <w:tabs>
          <w:tab w:val="num" w:pos="717"/>
        </w:tabs>
        <w:ind w:left="717" w:hanging="360"/>
      </w:pPr>
      <w:rPr>
        <w:rFonts w:ascii="Courier New" w:hAnsi="Courier New" w:cs="Courier New" w:hint="default"/>
      </w:rPr>
    </w:lvl>
    <w:lvl w:ilvl="2" w:tplc="08090005">
      <w:start w:val="1"/>
      <w:numFmt w:val="bullet"/>
      <w:lvlText w:val=""/>
      <w:lvlJc w:val="left"/>
      <w:pPr>
        <w:tabs>
          <w:tab w:val="num" w:pos="1437"/>
        </w:tabs>
        <w:ind w:left="1437" w:hanging="360"/>
      </w:pPr>
      <w:rPr>
        <w:rFonts w:ascii="Wingdings" w:hAnsi="Wingdings" w:hint="default"/>
      </w:rPr>
    </w:lvl>
    <w:lvl w:ilvl="3" w:tplc="08090001">
      <w:start w:val="1"/>
      <w:numFmt w:val="bullet"/>
      <w:lvlText w:val=""/>
      <w:lvlJc w:val="left"/>
      <w:pPr>
        <w:tabs>
          <w:tab w:val="num" w:pos="2157"/>
        </w:tabs>
        <w:ind w:left="2157" w:hanging="360"/>
      </w:pPr>
      <w:rPr>
        <w:rFonts w:ascii="Symbol" w:hAnsi="Symbol" w:hint="default"/>
      </w:rPr>
    </w:lvl>
    <w:lvl w:ilvl="4" w:tplc="08090003">
      <w:start w:val="1"/>
      <w:numFmt w:val="bullet"/>
      <w:lvlText w:val="o"/>
      <w:lvlJc w:val="left"/>
      <w:pPr>
        <w:tabs>
          <w:tab w:val="num" w:pos="2877"/>
        </w:tabs>
        <w:ind w:left="2877" w:hanging="360"/>
      </w:pPr>
      <w:rPr>
        <w:rFonts w:ascii="Courier New" w:hAnsi="Courier New" w:cs="Courier New" w:hint="default"/>
      </w:rPr>
    </w:lvl>
    <w:lvl w:ilvl="5" w:tplc="08090005" w:tentative="1">
      <w:start w:val="1"/>
      <w:numFmt w:val="bullet"/>
      <w:lvlText w:val=""/>
      <w:lvlJc w:val="left"/>
      <w:pPr>
        <w:tabs>
          <w:tab w:val="num" w:pos="3597"/>
        </w:tabs>
        <w:ind w:left="3597" w:hanging="360"/>
      </w:pPr>
      <w:rPr>
        <w:rFonts w:ascii="Wingdings" w:hAnsi="Wingdings" w:hint="default"/>
      </w:rPr>
    </w:lvl>
    <w:lvl w:ilvl="6" w:tplc="08090001" w:tentative="1">
      <w:start w:val="1"/>
      <w:numFmt w:val="bullet"/>
      <w:lvlText w:val=""/>
      <w:lvlJc w:val="left"/>
      <w:pPr>
        <w:tabs>
          <w:tab w:val="num" w:pos="4317"/>
        </w:tabs>
        <w:ind w:left="4317" w:hanging="360"/>
      </w:pPr>
      <w:rPr>
        <w:rFonts w:ascii="Symbol" w:hAnsi="Symbol" w:hint="default"/>
      </w:rPr>
    </w:lvl>
    <w:lvl w:ilvl="7" w:tplc="08090003" w:tentative="1">
      <w:start w:val="1"/>
      <w:numFmt w:val="bullet"/>
      <w:lvlText w:val="o"/>
      <w:lvlJc w:val="left"/>
      <w:pPr>
        <w:tabs>
          <w:tab w:val="num" w:pos="5037"/>
        </w:tabs>
        <w:ind w:left="5037" w:hanging="360"/>
      </w:pPr>
      <w:rPr>
        <w:rFonts w:ascii="Courier New" w:hAnsi="Courier New" w:cs="Courier New" w:hint="default"/>
      </w:rPr>
    </w:lvl>
    <w:lvl w:ilvl="8" w:tplc="08090005" w:tentative="1">
      <w:start w:val="1"/>
      <w:numFmt w:val="bullet"/>
      <w:lvlText w:val=""/>
      <w:lvlJc w:val="left"/>
      <w:pPr>
        <w:tabs>
          <w:tab w:val="num" w:pos="5757"/>
        </w:tabs>
        <w:ind w:left="5757" w:hanging="360"/>
      </w:pPr>
      <w:rPr>
        <w:rFonts w:ascii="Wingdings" w:hAnsi="Wingdings" w:hint="default"/>
      </w:rPr>
    </w:lvl>
  </w:abstractNum>
  <w:abstractNum w:abstractNumId="11" w15:restartNumberingAfterBreak="0">
    <w:nsid w:val="3CC34DF8"/>
    <w:multiLevelType w:val="hybridMultilevel"/>
    <w:tmpl w:val="D3F8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2285A"/>
    <w:multiLevelType w:val="hybridMultilevel"/>
    <w:tmpl w:val="83B2D1A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504B2"/>
    <w:multiLevelType w:val="hybridMultilevel"/>
    <w:tmpl w:val="A1D85126"/>
    <w:lvl w:ilvl="0" w:tplc="0414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15:restartNumberingAfterBreak="0">
    <w:nsid w:val="48BF0E91"/>
    <w:multiLevelType w:val="hybridMultilevel"/>
    <w:tmpl w:val="F0AC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B1B11"/>
    <w:multiLevelType w:val="hybridMultilevel"/>
    <w:tmpl w:val="324E4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155CC"/>
    <w:multiLevelType w:val="hybridMultilevel"/>
    <w:tmpl w:val="8716D1D4"/>
    <w:lvl w:ilvl="0" w:tplc="04140001">
      <w:start w:val="1"/>
      <w:numFmt w:val="bullet"/>
      <w:lvlText w:val=""/>
      <w:lvlJc w:val="left"/>
      <w:pPr>
        <w:ind w:left="870" w:hanging="360"/>
      </w:pPr>
      <w:rPr>
        <w:rFonts w:ascii="Symbol" w:hAnsi="Symbol"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17" w15:restartNumberingAfterBreak="0">
    <w:nsid w:val="58904719"/>
    <w:multiLevelType w:val="hybridMultilevel"/>
    <w:tmpl w:val="891A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A3410"/>
    <w:multiLevelType w:val="hybridMultilevel"/>
    <w:tmpl w:val="2990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74268"/>
    <w:multiLevelType w:val="hybridMultilevel"/>
    <w:tmpl w:val="9DC2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F21EB"/>
    <w:multiLevelType w:val="hybridMultilevel"/>
    <w:tmpl w:val="FECC90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16"/>
  </w:num>
  <w:num w:numId="4">
    <w:abstractNumId w:val="20"/>
  </w:num>
  <w:num w:numId="5">
    <w:abstractNumId w:val="10"/>
  </w:num>
  <w:num w:numId="6">
    <w:abstractNumId w:val="13"/>
  </w:num>
  <w:num w:numId="7">
    <w:abstractNumId w:val="0"/>
  </w:num>
  <w:num w:numId="8">
    <w:abstractNumId w:val="8"/>
  </w:num>
  <w:num w:numId="9">
    <w:abstractNumId w:val="9"/>
  </w:num>
  <w:num w:numId="10">
    <w:abstractNumId w:val="19"/>
  </w:num>
  <w:num w:numId="11">
    <w:abstractNumId w:val="14"/>
  </w:num>
  <w:num w:numId="12">
    <w:abstractNumId w:val="15"/>
  </w:num>
  <w:num w:numId="13">
    <w:abstractNumId w:val="18"/>
  </w:num>
  <w:num w:numId="14">
    <w:abstractNumId w:val="6"/>
  </w:num>
  <w:num w:numId="15">
    <w:abstractNumId w:val="1"/>
  </w:num>
  <w:num w:numId="16">
    <w:abstractNumId w:val="7"/>
  </w:num>
  <w:num w:numId="17">
    <w:abstractNumId w:val="11"/>
  </w:num>
  <w:num w:numId="18">
    <w:abstractNumId w:val="3"/>
  </w:num>
  <w:num w:numId="19">
    <w:abstractNumId w:val="17"/>
  </w:num>
  <w:num w:numId="20">
    <w:abstractNumId w:val="12"/>
  </w:num>
  <w:num w:numId="21">
    <w:abstractNumId w:val="5"/>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8D"/>
    <w:rsid w:val="000001D2"/>
    <w:rsid w:val="00002C83"/>
    <w:rsid w:val="00007134"/>
    <w:rsid w:val="00007940"/>
    <w:rsid w:val="00010FE7"/>
    <w:rsid w:val="00012CC9"/>
    <w:rsid w:val="00014BA1"/>
    <w:rsid w:val="000155E3"/>
    <w:rsid w:val="0001598F"/>
    <w:rsid w:val="00015BA5"/>
    <w:rsid w:val="00017925"/>
    <w:rsid w:val="00020D4E"/>
    <w:rsid w:val="00020DA9"/>
    <w:rsid w:val="00021141"/>
    <w:rsid w:val="0002339F"/>
    <w:rsid w:val="00025DCB"/>
    <w:rsid w:val="000304E0"/>
    <w:rsid w:val="0003239A"/>
    <w:rsid w:val="000354E4"/>
    <w:rsid w:val="00043657"/>
    <w:rsid w:val="00045BFA"/>
    <w:rsid w:val="00047284"/>
    <w:rsid w:val="00051ED1"/>
    <w:rsid w:val="00052F20"/>
    <w:rsid w:val="000538B8"/>
    <w:rsid w:val="00053C51"/>
    <w:rsid w:val="000541F5"/>
    <w:rsid w:val="0005714E"/>
    <w:rsid w:val="000578F2"/>
    <w:rsid w:val="000604DF"/>
    <w:rsid w:val="00063A81"/>
    <w:rsid w:val="00063E1E"/>
    <w:rsid w:val="00064A11"/>
    <w:rsid w:val="00070B55"/>
    <w:rsid w:val="00073843"/>
    <w:rsid w:val="00073B16"/>
    <w:rsid w:val="00075DC2"/>
    <w:rsid w:val="000764E7"/>
    <w:rsid w:val="00076935"/>
    <w:rsid w:val="00080134"/>
    <w:rsid w:val="0008078F"/>
    <w:rsid w:val="00081A3F"/>
    <w:rsid w:val="0008556D"/>
    <w:rsid w:val="0009300F"/>
    <w:rsid w:val="00094B47"/>
    <w:rsid w:val="000975A3"/>
    <w:rsid w:val="000A42A2"/>
    <w:rsid w:val="000A7071"/>
    <w:rsid w:val="000B0125"/>
    <w:rsid w:val="000B3979"/>
    <w:rsid w:val="000B44FA"/>
    <w:rsid w:val="000B4AE1"/>
    <w:rsid w:val="000B73FA"/>
    <w:rsid w:val="000C2201"/>
    <w:rsid w:val="000C3F85"/>
    <w:rsid w:val="000C4974"/>
    <w:rsid w:val="000C6C0E"/>
    <w:rsid w:val="000C7038"/>
    <w:rsid w:val="000C7196"/>
    <w:rsid w:val="000C7B28"/>
    <w:rsid w:val="000D1D8E"/>
    <w:rsid w:val="000D5311"/>
    <w:rsid w:val="000E0C0E"/>
    <w:rsid w:val="000E0F5F"/>
    <w:rsid w:val="000E0F7B"/>
    <w:rsid w:val="000E1EF1"/>
    <w:rsid w:val="000E324D"/>
    <w:rsid w:val="000E35E1"/>
    <w:rsid w:val="000E3DC6"/>
    <w:rsid w:val="000E6900"/>
    <w:rsid w:val="000E7F52"/>
    <w:rsid w:val="000F36AF"/>
    <w:rsid w:val="000F7971"/>
    <w:rsid w:val="00100F1A"/>
    <w:rsid w:val="00114D0E"/>
    <w:rsid w:val="00115499"/>
    <w:rsid w:val="00115B39"/>
    <w:rsid w:val="00116F5A"/>
    <w:rsid w:val="001179F5"/>
    <w:rsid w:val="00120735"/>
    <w:rsid w:val="0012201E"/>
    <w:rsid w:val="00123BFD"/>
    <w:rsid w:val="001245CD"/>
    <w:rsid w:val="001249F9"/>
    <w:rsid w:val="00124BE4"/>
    <w:rsid w:val="0012682C"/>
    <w:rsid w:val="00126EE4"/>
    <w:rsid w:val="001318EC"/>
    <w:rsid w:val="00132BA9"/>
    <w:rsid w:val="00136F4A"/>
    <w:rsid w:val="00137776"/>
    <w:rsid w:val="00142B58"/>
    <w:rsid w:val="00144DA9"/>
    <w:rsid w:val="00150B1C"/>
    <w:rsid w:val="00153559"/>
    <w:rsid w:val="00154C39"/>
    <w:rsid w:val="00161903"/>
    <w:rsid w:val="00161E0D"/>
    <w:rsid w:val="001639A4"/>
    <w:rsid w:val="00163D4B"/>
    <w:rsid w:val="0016728F"/>
    <w:rsid w:val="00172EC1"/>
    <w:rsid w:val="00172F17"/>
    <w:rsid w:val="00173FB3"/>
    <w:rsid w:val="00175E03"/>
    <w:rsid w:val="00175E7B"/>
    <w:rsid w:val="0017634B"/>
    <w:rsid w:val="001828A5"/>
    <w:rsid w:val="00183BD0"/>
    <w:rsid w:val="00184EB7"/>
    <w:rsid w:val="0018560A"/>
    <w:rsid w:val="0019488E"/>
    <w:rsid w:val="001A0CAC"/>
    <w:rsid w:val="001A4BCD"/>
    <w:rsid w:val="001B3B26"/>
    <w:rsid w:val="001B5824"/>
    <w:rsid w:val="001B7E57"/>
    <w:rsid w:val="001C3B91"/>
    <w:rsid w:val="001C40CD"/>
    <w:rsid w:val="001C43CF"/>
    <w:rsid w:val="001C5850"/>
    <w:rsid w:val="001C5FE3"/>
    <w:rsid w:val="001C7004"/>
    <w:rsid w:val="001D2923"/>
    <w:rsid w:val="001D38BD"/>
    <w:rsid w:val="001D38BF"/>
    <w:rsid w:val="001D3C16"/>
    <w:rsid w:val="001D41A2"/>
    <w:rsid w:val="001D46A8"/>
    <w:rsid w:val="001E191C"/>
    <w:rsid w:val="001E2476"/>
    <w:rsid w:val="001E397D"/>
    <w:rsid w:val="001E4698"/>
    <w:rsid w:val="001E537C"/>
    <w:rsid w:val="001E70F6"/>
    <w:rsid w:val="001F0340"/>
    <w:rsid w:val="001F0B95"/>
    <w:rsid w:val="001F1420"/>
    <w:rsid w:val="001F31E6"/>
    <w:rsid w:val="001F334D"/>
    <w:rsid w:val="001F3FA9"/>
    <w:rsid w:val="001F5B41"/>
    <w:rsid w:val="00201024"/>
    <w:rsid w:val="0020139B"/>
    <w:rsid w:val="00201DFF"/>
    <w:rsid w:val="002028A1"/>
    <w:rsid w:val="0020297D"/>
    <w:rsid w:val="0020328D"/>
    <w:rsid w:val="00203731"/>
    <w:rsid w:val="00204715"/>
    <w:rsid w:val="00205E28"/>
    <w:rsid w:val="00206A1D"/>
    <w:rsid w:val="00212308"/>
    <w:rsid w:val="002128BF"/>
    <w:rsid w:val="00213075"/>
    <w:rsid w:val="00213ED8"/>
    <w:rsid w:val="002170A2"/>
    <w:rsid w:val="002210BB"/>
    <w:rsid w:val="00223AD1"/>
    <w:rsid w:val="00227428"/>
    <w:rsid w:val="002276D0"/>
    <w:rsid w:val="00227B47"/>
    <w:rsid w:val="00230A37"/>
    <w:rsid w:val="00230E04"/>
    <w:rsid w:val="00231BA8"/>
    <w:rsid w:val="00233053"/>
    <w:rsid w:val="002342BB"/>
    <w:rsid w:val="00234BB3"/>
    <w:rsid w:val="002355C6"/>
    <w:rsid w:val="00242ACC"/>
    <w:rsid w:val="00242B11"/>
    <w:rsid w:val="0024332C"/>
    <w:rsid w:val="00246BCC"/>
    <w:rsid w:val="0024758B"/>
    <w:rsid w:val="002523AF"/>
    <w:rsid w:val="002532A7"/>
    <w:rsid w:val="00255FD3"/>
    <w:rsid w:val="00257754"/>
    <w:rsid w:val="00257B8E"/>
    <w:rsid w:val="00260959"/>
    <w:rsid w:val="00261D02"/>
    <w:rsid w:val="00264A2B"/>
    <w:rsid w:val="0026559A"/>
    <w:rsid w:val="00266F00"/>
    <w:rsid w:val="0026741C"/>
    <w:rsid w:val="00267799"/>
    <w:rsid w:val="0027124D"/>
    <w:rsid w:val="002723D4"/>
    <w:rsid w:val="00273A74"/>
    <w:rsid w:val="00273F21"/>
    <w:rsid w:val="00273FCD"/>
    <w:rsid w:val="00274F7C"/>
    <w:rsid w:val="00275FF6"/>
    <w:rsid w:val="0028157C"/>
    <w:rsid w:val="002818A2"/>
    <w:rsid w:val="002839B7"/>
    <w:rsid w:val="00283F77"/>
    <w:rsid w:val="00286DE0"/>
    <w:rsid w:val="0028797B"/>
    <w:rsid w:val="002905C1"/>
    <w:rsid w:val="002A4D4A"/>
    <w:rsid w:val="002A4EEA"/>
    <w:rsid w:val="002A5976"/>
    <w:rsid w:val="002A7B13"/>
    <w:rsid w:val="002A7D03"/>
    <w:rsid w:val="002B01E8"/>
    <w:rsid w:val="002B52EF"/>
    <w:rsid w:val="002C0EA0"/>
    <w:rsid w:val="002C165F"/>
    <w:rsid w:val="002C1AAC"/>
    <w:rsid w:val="002C467E"/>
    <w:rsid w:val="002C48BC"/>
    <w:rsid w:val="002C5303"/>
    <w:rsid w:val="002C58AD"/>
    <w:rsid w:val="002C78BD"/>
    <w:rsid w:val="002D1202"/>
    <w:rsid w:val="002D2FF5"/>
    <w:rsid w:val="002D4754"/>
    <w:rsid w:val="002D5B37"/>
    <w:rsid w:val="002D6277"/>
    <w:rsid w:val="002E4E8C"/>
    <w:rsid w:val="002E7A14"/>
    <w:rsid w:val="002F2E37"/>
    <w:rsid w:val="002F7AA8"/>
    <w:rsid w:val="00300612"/>
    <w:rsid w:val="00302A36"/>
    <w:rsid w:val="00305498"/>
    <w:rsid w:val="00310946"/>
    <w:rsid w:val="00311644"/>
    <w:rsid w:val="003129D9"/>
    <w:rsid w:val="0031366A"/>
    <w:rsid w:val="003266B3"/>
    <w:rsid w:val="0033635B"/>
    <w:rsid w:val="00336750"/>
    <w:rsid w:val="00342B51"/>
    <w:rsid w:val="00345CB9"/>
    <w:rsid w:val="0034630E"/>
    <w:rsid w:val="00350E24"/>
    <w:rsid w:val="00351AFB"/>
    <w:rsid w:val="00351E96"/>
    <w:rsid w:val="00353CCB"/>
    <w:rsid w:val="003559D5"/>
    <w:rsid w:val="003607CA"/>
    <w:rsid w:val="00362E94"/>
    <w:rsid w:val="00363536"/>
    <w:rsid w:val="00363E16"/>
    <w:rsid w:val="00364475"/>
    <w:rsid w:val="00364767"/>
    <w:rsid w:val="00367D7E"/>
    <w:rsid w:val="003721C8"/>
    <w:rsid w:val="00372438"/>
    <w:rsid w:val="00373766"/>
    <w:rsid w:val="003751C0"/>
    <w:rsid w:val="00375F4D"/>
    <w:rsid w:val="00376715"/>
    <w:rsid w:val="00383222"/>
    <w:rsid w:val="00384C3C"/>
    <w:rsid w:val="00385257"/>
    <w:rsid w:val="00386087"/>
    <w:rsid w:val="003913EC"/>
    <w:rsid w:val="003A212F"/>
    <w:rsid w:val="003A4DC9"/>
    <w:rsid w:val="003A6F22"/>
    <w:rsid w:val="003B0C3C"/>
    <w:rsid w:val="003B1B15"/>
    <w:rsid w:val="003B5E54"/>
    <w:rsid w:val="003B64B9"/>
    <w:rsid w:val="003C08A0"/>
    <w:rsid w:val="003C1D40"/>
    <w:rsid w:val="003C3027"/>
    <w:rsid w:val="003D15D1"/>
    <w:rsid w:val="003D2CB4"/>
    <w:rsid w:val="003D39FA"/>
    <w:rsid w:val="003D6E2D"/>
    <w:rsid w:val="003D7801"/>
    <w:rsid w:val="003D7F14"/>
    <w:rsid w:val="003D7FE9"/>
    <w:rsid w:val="003E2F32"/>
    <w:rsid w:val="003E5AC2"/>
    <w:rsid w:val="003F0C33"/>
    <w:rsid w:val="003F1C9C"/>
    <w:rsid w:val="003F3FDA"/>
    <w:rsid w:val="003F5F2F"/>
    <w:rsid w:val="003F7733"/>
    <w:rsid w:val="00400689"/>
    <w:rsid w:val="004008C4"/>
    <w:rsid w:val="00403600"/>
    <w:rsid w:val="004039F9"/>
    <w:rsid w:val="00404EE1"/>
    <w:rsid w:val="00406A7F"/>
    <w:rsid w:val="00407B62"/>
    <w:rsid w:val="00407D14"/>
    <w:rsid w:val="00407D43"/>
    <w:rsid w:val="00413323"/>
    <w:rsid w:val="00413EEC"/>
    <w:rsid w:val="00414F80"/>
    <w:rsid w:val="004166DC"/>
    <w:rsid w:val="004177BF"/>
    <w:rsid w:val="00420F7E"/>
    <w:rsid w:val="00421BF6"/>
    <w:rsid w:val="004259F2"/>
    <w:rsid w:val="00442627"/>
    <w:rsid w:val="004451B4"/>
    <w:rsid w:val="00446D95"/>
    <w:rsid w:val="00450967"/>
    <w:rsid w:val="004511A7"/>
    <w:rsid w:val="004543E1"/>
    <w:rsid w:val="004562F0"/>
    <w:rsid w:val="0045764A"/>
    <w:rsid w:val="00462FD9"/>
    <w:rsid w:val="004646FA"/>
    <w:rsid w:val="004658F6"/>
    <w:rsid w:val="00465A77"/>
    <w:rsid w:val="0046614D"/>
    <w:rsid w:val="00467A32"/>
    <w:rsid w:val="00472045"/>
    <w:rsid w:val="004746C9"/>
    <w:rsid w:val="00477137"/>
    <w:rsid w:val="00477E0D"/>
    <w:rsid w:val="0048058C"/>
    <w:rsid w:val="004842EE"/>
    <w:rsid w:val="00487D13"/>
    <w:rsid w:val="00490271"/>
    <w:rsid w:val="00491DA1"/>
    <w:rsid w:val="0049328C"/>
    <w:rsid w:val="00496C64"/>
    <w:rsid w:val="004970F2"/>
    <w:rsid w:val="00497A98"/>
    <w:rsid w:val="004A1FB5"/>
    <w:rsid w:val="004A355F"/>
    <w:rsid w:val="004A7B58"/>
    <w:rsid w:val="004B033F"/>
    <w:rsid w:val="004B2AF1"/>
    <w:rsid w:val="004B5CDF"/>
    <w:rsid w:val="004B62DF"/>
    <w:rsid w:val="004B679F"/>
    <w:rsid w:val="004B7800"/>
    <w:rsid w:val="004C0EB1"/>
    <w:rsid w:val="004C6F64"/>
    <w:rsid w:val="004C7E16"/>
    <w:rsid w:val="004D0170"/>
    <w:rsid w:val="004D225E"/>
    <w:rsid w:val="004D2858"/>
    <w:rsid w:val="004D7EC4"/>
    <w:rsid w:val="004E0F7D"/>
    <w:rsid w:val="004E4241"/>
    <w:rsid w:val="004E6E89"/>
    <w:rsid w:val="004E7433"/>
    <w:rsid w:val="004E7460"/>
    <w:rsid w:val="004F0651"/>
    <w:rsid w:val="004F27C1"/>
    <w:rsid w:val="004F5458"/>
    <w:rsid w:val="004F5D25"/>
    <w:rsid w:val="00506F63"/>
    <w:rsid w:val="00507296"/>
    <w:rsid w:val="0051133B"/>
    <w:rsid w:val="00516E87"/>
    <w:rsid w:val="00517137"/>
    <w:rsid w:val="0052079E"/>
    <w:rsid w:val="00521A1E"/>
    <w:rsid w:val="00522911"/>
    <w:rsid w:val="005253E2"/>
    <w:rsid w:val="00533DBE"/>
    <w:rsid w:val="00534058"/>
    <w:rsid w:val="005343B7"/>
    <w:rsid w:val="00535122"/>
    <w:rsid w:val="00536D65"/>
    <w:rsid w:val="00540AD6"/>
    <w:rsid w:val="005457A8"/>
    <w:rsid w:val="0054662C"/>
    <w:rsid w:val="00551225"/>
    <w:rsid w:val="005518BD"/>
    <w:rsid w:val="0055367D"/>
    <w:rsid w:val="005543D7"/>
    <w:rsid w:val="00556A7F"/>
    <w:rsid w:val="00557162"/>
    <w:rsid w:val="00560106"/>
    <w:rsid w:val="005677DF"/>
    <w:rsid w:val="00570135"/>
    <w:rsid w:val="00570267"/>
    <w:rsid w:val="0057276C"/>
    <w:rsid w:val="00573623"/>
    <w:rsid w:val="00576115"/>
    <w:rsid w:val="005765AE"/>
    <w:rsid w:val="00576A33"/>
    <w:rsid w:val="00576E10"/>
    <w:rsid w:val="0058293E"/>
    <w:rsid w:val="00582EF5"/>
    <w:rsid w:val="00583039"/>
    <w:rsid w:val="00583667"/>
    <w:rsid w:val="00583FA6"/>
    <w:rsid w:val="00583FF0"/>
    <w:rsid w:val="0058477C"/>
    <w:rsid w:val="00585DFA"/>
    <w:rsid w:val="0058743E"/>
    <w:rsid w:val="00590B6A"/>
    <w:rsid w:val="00590EE9"/>
    <w:rsid w:val="0059612D"/>
    <w:rsid w:val="005A1ED4"/>
    <w:rsid w:val="005A1EF8"/>
    <w:rsid w:val="005A4532"/>
    <w:rsid w:val="005A5B87"/>
    <w:rsid w:val="005A7083"/>
    <w:rsid w:val="005A77DD"/>
    <w:rsid w:val="005A79A7"/>
    <w:rsid w:val="005B1C21"/>
    <w:rsid w:val="005B21E1"/>
    <w:rsid w:val="005B26B9"/>
    <w:rsid w:val="005C2080"/>
    <w:rsid w:val="005C355A"/>
    <w:rsid w:val="005C590A"/>
    <w:rsid w:val="005C7C49"/>
    <w:rsid w:val="005D0531"/>
    <w:rsid w:val="005E179B"/>
    <w:rsid w:val="005E3D2D"/>
    <w:rsid w:val="005E408A"/>
    <w:rsid w:val="005E4915"/>
    <w:rsid w:val="005E552A"/>
    <w:rsid w:val="005E5793"/>
    <w:rsid w:val="005E6BF3"/>
    <w:rsid w:val="005F5D0D"/>
    <w:rsid w:val="00600374"/>
    <w:rsid w:val="006010B1"/>
    <w:rsid w:val="00605482"/>
    <w:rsid w:val="00607BBD"/>
    <w:rsid w:val="00610459"/>
    <w:rsid w:val="0061109A"/>
    <w:rsid w:val="00615DE1"/>
    <w:rsid w:val="00620E9E"/>
    <w:rsid w:val="00621266"/>
    <w:rsid w:val="00622924"/>
    <w:rsid w:val="00622D57"/>
    <w:rsid w:val="006234C3"/>
    <w:rsid w:val="00623CD8"/>
    <w:rsid w:val="0062447D"/>
    <w:rsid w:val="00627E84"/>
    <w:rsid w:val="00627F05"/>
    <w:rsid w:val="0063078D"/>
    <w:rsid w:val="00631E2C"/>
    <w:rsid w:val="006348AC"/>
    <w:rsid w:val="006360FB"/>
    <w:rsid w:val="006361B0"/>
    <w:rsid w:val="00636C12"/>
    <w:rsid w:val="00640942"/>
    <w:rsid w:val="006421D4"/>
    <w:rsid w:val="006449CD"/>
    <w:rsid w:val="00645E8C"/>
    <w:rsid w:val="006467E4"/>
    <w:rsid w:val="006513B1"/>
    <w:rsid w:val="00652116"/>
    <w:rsid w:val="00654C52"/>
    <w:rsid w:val="00654D0A"/>
    <w:rsid w:val="0066361A"/>
    <w:rsid w:val="0066374C"/>
    <w:rsid w:val="00665357"/>
    <w:rsid w:val="00665807"/>
    <w:rsid w:val="006675BD"/>
    <w:rsid w:val="00671E22"/>
    <w:rsid w:val="00674BF4"/>
    <w:rsid w:val="00675EFC"/>
    <w:rsid w:val="0067706D"/>
    <w:rsid w:val="00682D1A"/>
    <w:rsid w:val="00691597"/>
    <w:rsid w:val="006A0283"/>
    <w:rsid w:val="006A20E6"/>
    <w:rsid w:val="006A2EFA"/>
    <w:rsid w:val="006A4422"/>
    <w:rsid w:val="006B1209"/>
    <w:rsid w:val="006B132F"/>
    <w:rsid w:val="006B1DC3"/>
    <w:rsid w:val="006B28D3"/>
    <w:rsid w:val="006B363E"/>
    <w:rsid w:val="006B3AD3"/>
    <w:rsid w:val="006B3EC8"/>
    <w:rsid w:val="006B5463"/>
    <w:rsid w:val="006B59C2"/>
    <w:rsid w:val="006C0A2C"/>
    <w:rsid w:val="006C1F9F"/>
    <w:rsid w:val="006C207A"/>
    <w:rsid w:val="006C31A2"/>
    <w:rsid w:val="006C44FA"/>
    <w:rsid w:val="006C4B86"/>
    <w:rsid w:val="006C7635"/>
    <w:rsid w:val="006C7674"/>
    <w:rsid w:val="006C7B61"/>
    <w:rsid w:val="006D4E3E"/>
    <w:rsid w:val="006E034C"/>
    <w:rsid w:val="006E0F6F"/>
    <w:rsid w:val="006E39B5"/>
    <w:rsid w:val="006E3F9A"/>
    <w:rsid w:val="006E4E4A"/>
    <w:rsid w:val="006E5946"/>
    <w:rsid w:val="006F12BB"/>
    <w:rsid w:val="006F1AC2"/>
    <w:rsid w:val="006F2960"/>
    <w:rsid w:val="006F30EE"/>
    <w:rsid w:val="006F6B8A"/>
    <w:rsid w:val="006F7ED1"/>
    <w:rsid w:val="00700A27"/>
    <w:rsid w:val="00705C28"/>
    <w:rsid w:val="00705DB2"/>
    <w:rsid w:val="00711199"/>
    <w:rsid w:val="00713A52"/>
    <w:rsid w:val="00715DEC"/>
    <w:rsid w:val="00723BD5"/>
    <w:rsid w:val="00723D6A"/>
    <w:rsid w:val="00724B37"/>
    <w:rsid w:val="00725095"/>
    <w:rsid w:val="00730DDD"/>
    <w:rsid w:val="007312B4"/>
    <w:rsid w:val="00732FFA"/>
    <w:rsid w:val="00735F41"/>
    <w:rsid w:val="00741420"/>
    <w:rsid w:val="007422B0"/>
    <w:rsid w:val="00743725"/>
    <w:rsid w:val="00744178"/>
    <w:rsid w:val="00744235"/>
    <w:rsid w:val="00747320"/>
    <w:rsid w:val="0074792D"/>
    <w:rsid w:val="00747E67"/>
    <w:rsid w:val="007539C8"/>
    <w:rsid w:val="007543AD"/>
    <w:rsid w:val="007546CD"/>
    <w:rsid w:val="00755EE8"/>
    <w:rsid w:val="007568D8"/>
    <w:rsid w:val="00762021"/>
    <w:rsid w:val="00763E35"/>
    <w:rsid w:val="007651DF"/>
    <w:rsid w:val="007662F3"/>
    <w:rsid w:val="00767EFE"/>
    <w:rsid w:val="00772855"/>
    <w:rsid w:val="00772858"/>
    <w:rsid w:val="0077345A"/>
    <w:rsid w:val="007738F1"/>
    <w:rsid w:val="00773C55"/>
    <w:rsid w:val="00777101"/>
    <w:rsid w:val="007825D5"/>
    <w:rsid w:val="00783545"/>
    <w:rsid w:val="00785CA1"/>
    <w:rsid w:val="00786585"/>
    <w:rsid w:val="00790566"/>
    <w:rsid w:val="0079064B"/>
    <w:rsid w:val="00793703"/>
    <w:rsid w:val="00794EE1"/>
    <w:rsid w:val="007952B0"/>
    <w:rsid w:val="00795AF0"/>
    <w:rsid w:val="00796622"/>
    <w:rsid w:val="00797887"/>
    <w:rsid w:val="007A57A2"/>
    <w:rsid w:val="007B0111"/>
    <w:rsid w:val="007B576B"/>
    <w:rsid w:val="007B5DB8"/>
    <w:rsid w:val="007B7683"/>
    <w:rsid w:val="007D1EC0"/>
    <w:rsid w:val="007D2EEF"/>
    <w:rsid w:val="007D3CB7"/>
    <w:rsid w:val="007D4BFF"/>
    <w:rsid w:val="007E06E1"/>
    <w:rsid w:val="007E1D59"/>
    <w:rsid w:val="007E441D"/>
    <w:rsid w:val="007E46DD"/>
    <w:rsid w:val="007E5E01"/>
    <w:rsid w:val="007E7B2A"/>
    <w:rsid w:val="007F1A30"/>
    <w:rsid w:val="007F30B5"/>
    <w:rsid w:val="007F3515"/>
    <w:rsid w:val="007F3627"/>
    <w:rsid w:val="007F4A62"/>
    <w:rsid w:val="007F6047"/>
    <w:rsid w:val="008039F3"/>
    <w:rsid w:val="008047B4"/>
    <w:rsid w:val="00815978"/>
    <w:rsid w:val="0081602E"/>
    <w:rsid w:val="00817360"/>
    <w:rsid w:val="008175AD"/>
    <w:rsid w:val="00822543"/>
    <w:rsid w:val="00824331"/>
    <w:rsid w:val="0082573D"/>
    <w:rsid w:val="00826D44"/>
    <w:rsid w:val="00841352"/>
    <w:rsid w:val="008462C6"/>
    <w:rsid w:val="008473B2"/>
    <w:rsid w:val="008473BE"/>
    <w:rsid w:val="008473DF"/>
    <w:rsid w:val="00847899"/>
    <w:rsid w:val="00847F46"/>
    <w:rsid w:val="008505EC"/>
    <w:rsid w:val="008522B4"/>
    <w:rsid w:val="00853DDE"/>
    <w:rsid w:val="0085647B"/>
    <w:rsid w:val="008600AE"/>
    <w:rsid w:val="00860411"/>
    <w:rsid w:val="00861D95"/>
    <w:rsid w:val="00863F7C"/>
    <w:rsid w:val="00864A1A"/>
    <w:rsid w:val="00866973"/>
    <w:rsid w:val="00867E74"/>
    <w:rsid w:val="0087133E"/>
    <w:rsid w:val="0087257E"/>
    <w:rsid w:val="008741B6"/>
    <w:rsid w:val="00875BE2"/>
    <w:rsid w:val="00875D65"/>
    <w:rsid w:val="00877624"/>
    <w:rsid w:val="008808FF"/>
    <w:rsid w:val="00883D8B"/>
    <w:rsid w:val="00884EDB"/>
    <w:rsid w:val="00893E0E"/>
    <w:rsid w:val="0089543E"/>
    <w:rsid w:val="00897BB0"/>
    <w:rsid w:val="008A02A7"/>
    <w:rsid w:val="008A1BF5"/>
    <w:rsid w:val="008A1D0E"/>
    <w:rsid w:val="008A2AD7"/>
    <w:rsid w:val="008A4FC8"/>
    <w:rsid w:val="008A56FD"/>
    <w:rsid w:val="008A594F"/>
    <w:rsid w:val="008B0BFF"/>
    <w:rsid w:val="008B0CF8"/>
    <w:rsid w:val="008B1ED7"/>
    <w:rsid w:val="008C54AF"/>
    <w:rsid w:val="008D1F6B"/>
    <w:rsid w:val="008D3633"/>
    <w:rsid w:val="008D3BF2"/>
    <w:rsid w:val="008D44C2"/>
    <w:rsid w:val="008D5123"/>
    <w:rsid w:val="008D6A19"/>
    <w:rsid w:val="008E0428"/>
    <w:rsid w:val="008E055B"/>
    <w:rsid w:val="008E3508"/>
    <w:rsid w:val="008E3C2D"/>
    <w:rsid w:val="008E714A"/>
    <w:rsid w:val="008F0B8A"/>
    <w:rsid w:val="008F12D2"/>
    <w:rsid w:val="008F1DA4"/>
    <w:rsid w:val="008F54B9"/>
    <w:rsid w:val="008F6F73"/>
    <w:rsid w:val="00900660"/>
    <w:rsid w:val="009042EB"/>
    <w:rsid w:val="0090468D"/>
    <w:rsid w:val="0091023E"/>
    <w:rsid w:val="00910645"/>
    <w:rsid w:val="00911F27"/>
    <w:rsid w:val="009128A6"/>
    <w:rsid w:val="00912E76"/>
    <w:rsid w:val="00913FA1"/>
    <w:rsid w:val="0091413F"/>
    <w:rsid w:val="00921233"/>
    <w:rsid w:val="00921EB8"/>
    <w:rsid w:val="00922BAB"/>
    <w:rsid w:val="0092475A"/>
    <w:rsid w:val="00924CBF"/>
    <w:rsid w:val="00925A84"/>
    <w:rsid w:val="00926919"/>
    <w:rsid w:val="00926DC2"/>
    <w:rsid w:val="00926F51"/>
    <w:rsid w:val="009304EB"/>
    <w:rsid w:val="0093140A"/>
    <w:rsid w:val="0093569A"/>
    <w:rsid w:val="00942A33"/>
    <w:rsid w:val="00942E3F"/>
    <w:rsid w:val="00943C49"/>
    <w:rsid w:val="009448E9"/>
    <w:rsid w:val="00950B40"/>
    <w:rsid w:val="00956422"/>
    <w:rsid w:val="0095665C"/>
    <w:rsid w:val="00956D2D"/>
    <w:rsid w:val="00957D8E"/>
    <w:rsid w:val="00971346"/>
    <w:rsid w:val="009714DA"/>
    <w:rsid w:val="00972CA1"/>
    <w:rsid w:val="00972F13"/>
    <w:rsid w:val="00973C04"/>
    <w:rsid w:val="009829E6"/>
    <w:rsid w:val="00982AC7"/>
    <w:rsid w:val="00986E53"/>
    <w:rsid w:val="00990E90"/>
    <w:rsid w:val="00991953"/>
    <w:rsid w:val="00992D5E"/>
    <w:rsid w:val="00994470"/>
    <w:rsid w:val="009969C3"/>
    <w:rsid w:val="009972DE"/>
    <w:rsid w:val="009A0787"/>
    <w:rsid w:val="009A0DE0"/>
    <w:rsid w:val="009A4A8D"/>
    <w:rsid w:val="009A50EF"/>
    <w:rsid w:val="009A61C8"/>
    <w:rsid w:val="009A6AA3"/>
    <w:rsid w:val="009B307A"/>
    <w:rsid w:val="009B5A67"/>
    <w:rsid w:val="009B62CC"/>
    <w:rsid w:val="009B71C0"/>
    <w:rsid w:val="009B773D"/>
    <w:rsid w:val="009B79E8"/>
    <w:rsid w:val="009B7DF4"/>
    <w:rsid w:val="009C033E"/>
    <w:rsid w:val="009C2BBA"/>
    <w:rsid w:val="009C4562"/>
    <w:rsid w:val="009C73A4"/>
    <w:rsid w:val="009C7EBD"/>
    <w:rsid w:val="009D0EAD"/>
    <w:rsid w:val="009D71C4"/>
    <w:rsid w:val="009E37D9"/>
    <w:rsid w:val="009E43D9"/>
    <w:rsid w:val="009E55C3"/>
    <w:rsid w:val="009E5B64"/>
    <w:rsid w:val="009E5C7F"/>
    <w:rsid w:val="009E60B2"/>
    <w:rsid w:val="009F32E8"/>
    <w:rsid w:val="009F5313"/>
    <w:rsid w:val="009F5F89"/>
    <w:rsid w:val="009F7146"/>
    <w:rsid w:val="00A000FE"/>
    <w:rsid w:val="00A02C6F"/>
    <w:rsid w:val="00A03EB4"/>
    <w:rsid w:val="00A05529"/>
    <w:rsid w:val="00A06917"/>
    <w:rsid w:val="00A1057F"/>
    <w:rsid w:val="00A13B3F"/>
    <w:rsid w:val="00A140AC"/>
    <w:rsid w:val="00A14262"/>
    <w:rsid w:val="00A148F0"/>
    <w:rsid w:val="00A14DD0"/>
    <w:rsid w:val="00A20FA9"/>
    <w:rsid w:val="00A22FAC"/>
    <w:rsid w:val="00A237BF"/>
    <w:rsid w:val="00A23EF3"/>
    <w:rsid w:val="00A24DDB"/>
    <w:rsid w:val="00A2664A"/>
    <w:rsid w:val="00A318CC"/>
    <w:rsid w:val="00A348F3"/>
    <w:rsid w:val="00A349EA"/>
    <w:rsid w:val="00A365A9"/>
    <w:rsid w:val="00A427CD"/>
    <w:rsid w:val="00A42E3D"/>
    <w:rsid w:val="00A445A1"/>
    <w:rsid w:val="00A465FA"/>
    <w:rsid w:val="00A4697D"/>
    <w:rsid w:val="00A51E31"/>
    <w:rsid w:val="00A63A82"/>
    <w:rsid w:val="00A64992"/>
    <w:rsid w:val="00A6547A"/>
    <w:rsid w:val="00A655D4"/>
    <w:rsid w:val="00A67D4E"/>
    <w:rsid w:val="00A74E9B"/>
    <w:rsid w:val="00A806A7"/>
    <w:rsid w:val="00A82130"/>
    <w:rsid w:val="00A82807"/>
    <w:rsid w:val="00A84323"/>
    <w:rsid w:val="00A8706F"/>
    <w:rsid w:val="00A95181"/>
    <w:rsid w:val="00A95A8D"/>
    <w:rsid w:val="00A96619"/>
    <w:rsid w:val="00AA12BC"/>
    <w:rsid w:val="00AA15AF"/>
    <w:rsid w:val="00AA56B7"/>
    <w:rsid w:val="00AA5DC8"/>
    <w:rsid w:val="00AA67D4"/>
    <w:rsid w:val="00AB2618"/>
    <w:rsid w:val="00AB3AA3"/>
    <w:rsid w:val="00AB3AE7"/>
    <w:rsid w:val="00AC0E4E"/>
    <w:rsid w:val="00AC2998"/>
    <w:rsid w:val="00AC3072"/>
    <w:rsid w:val="00AC5C0D"/>
    <w:rsid w:val="00AD10FA"/>
    <w:rsid w:val="00AD4234"/>
    <w:rsid w:val="00AD63F0"/>
    <w:rsid w:val="00AE319F"/>
    <w:rsid w:val="00AE372E"/>
    <w:rsid w:val="00AE6898"/>
    <w:rsid w:val="00AE6AFD"/>
    <w:rsid w:val="00AF1025"/>
    <w:rsid w:val="00AF3CB0"/>
    <w:rsid w:val="00AF4FA1"/>
    <w:rsid w:val="00AF74D5"/>
    <w:rsid w:val="00B00F0F"/>
    <w:rsid w:val="00B046C3"/>
    <w:rsid w:val="00B049DA"/>
    <w:rsid w:val="00B05B5E"/>
    <w:rsid w:val="00B0668A"/>
    <w:rsid w:val="00B1087A"/>
    <w:rsid w:val="00B10F84"/>
    <w:rsid w:val="00B126AB"/>
    <w:rsid w:val="00B14AC9"/>
    <w:rsid w:val="00B14DBD"/>
    <w:rsid w:val="00B1552A"/>
    <w:rsid w:val="00B15825"/>
    <w:rsid w:val="00B203C4"/>
    <w:rsid w:val="00B20579"/>
    <w:rsid w:val="00B21569"/>
    <w:rsid w:val="00B22BA0"/>
    <w:rsid w:val="00B23AD0"/>
    <w:rsid w:val="00B303FA"/>
    <w:rsid w:val="00B3646B"/>
    <w:rsid w:val="00B4435C"/>
    <w:rsid w:val="00B455DF"/>
    <w:rsid w:val="00B457B8"/>
    <w:rsid w:val="00B50821"/>
    <w:rsid w:val="00B50888"/>
    <w:rsid w:val="00B512AC"/>
    <w:rsid w:val="00B51378"/>
    <w:rsid w:val="00B54A22"/>
    <w:rsid w:val="00B550FA"/>
    <w:rsid w:val="00B64D30"/>
    <w:rsid w:val="00B72931"/>
    <w:rsid w:val="00B74CDB"/>
    <w:rsid w:val="00B76BBB"/>
    <w:rsid w:val="00B77683"/>
    <w:rsid w:val="00B90190"/>
    <w:rsid w:val="00B90F65"/>
    <w:rsid w:val="00B92146"/>
    <w:rsid w:val="00B9320E"/>
    <w:rsid w:val="00B94CF7"/>
    <w:rsid w:val="00B952BF"/>
    <w:rsid w:val="00BA0B1A"/>
    <w:rsid w:val="00BA0DB8"/>
    <w:rsid w:val="00BA10B3"/>
    <w:rsid w:val="00BA2567"/>
    <w:rsid w:val="00BA2742"/>
    <w:rsid w:val="00BB214E"/>
    <w:rsid w:val="00BB2682"/>
    <w:rsid w:val="00BB4C7D"/>
    <w:rsid w:val="00BC0331"/>
    <w:rsid w:val="00BC0697"/>
    <w:rsid w:val="00BC379B"/>
    <w:rsid w:val="00BC4D75"/>
    <w:rsid w:val="00BC601F"/>
    <w:rsid w:val="00BC728D"/>
    <w:rsid w:val="00BC76E2"/>
    <w:rsid w:val="00BD1491"/>
    <w:rsid w:val="00BD34FF"/>
    <w:rsid w:val="00BD45E8"/>
    <w:rsid w:val="00BD56EE"/>
    <w:rsid w:val="00BD6DFD"/>
    <w:rsid w:val="00BE3201"/>
    <w:rsid w:val="00BF1EDF"/>
    <w:rsid w:val="00BF31B0"/>
    <w:rsid w:val="00BF65E9"/>
    <w:rsid w:val="00BF777D"/>
    <w:rsid w:val="00C00884"/>
    <w:rsid w:val="00C028CF"/>
    <w:rsid w:val="00C0290C"/>
    <w:rsid w:val="00C037D4"/>
    <w:rsid w:val="00C03E56"/>
    <w:rsid w:val="00C046E3"/>
    <w:rsid w:val="00C06FB3"/>
    <w:rsid w:val="00C07AA8"/>
    <w:rsid w:val="00C11D81"/>
    <w:rsid w:val="00C1208C"/>
    <w:rsid w:val="00C121FE"/>
    <w:rsid w:val="00C126A7"/>
    <w:rsid w:val="00C1273B"/>
    <w:rsid w:val="00C12E4C"/>
    <w:rsid w:val="00C1350C"/>
    <w:rsid w:val="00C1468D"/>
    <w:rsid w:val="00C1767B"/>
    <w:rsid w:val="00C2121D"/>
    <w:rsid w:val="00C2419E"/>
    <w:rsid w:val="00C25A1A"/>
    <w:rsid w:val="00C275DC"/>
    <w:rsid w:val="00C33091"/>
    <w:rsid w:val="00C33B0D"/>
    <w:rsid w:val="00C33C4C"/>
    <w:rsid w:val="00C36A76"/>
    <w:rsid w:val="00C4347A"/>
    <w:rsid w:val="00C43774"/>
    <w:rsid w:val="00C47FAC"/>
    <w:rsid w:val="00C56FEA"/>
    <w:rsid w:val="00C5797B"/>
    <w:rsid w:val="00C63452"/>
    <w:rsid w:val="00C66B86"/>
    <w:rsid w:val="00C716DC"/>
    <w:rsid w:val="00C72958"/>
    <w:rsid w:val="00C74480"/>
    <w:rsid w:val="00C7540E"/>
    <w:rsid w:val="00C75A23"/>
    <w:rsid w:val="00C815CB"/>
    <w:rsid w:val="00C81C4B"/>
    <w:rsid w:val="00C8433A"/>
    <w:rsid w:val="00C861D4"/>
    <w:rsid w:val="00C90595"/>
    <w:rsid w:val="00C932CF"/>
    <w:rsid w:val="00C9612C"/>
    <w:rsid w:val="00C963C7"/>
    <w:rsid w:val="00CA04D0"/>
    <w:rsid w:val="00CA65F8"/>
    <w:rsid w:val="00CB351F"/>
    <w:rsid w:val="00CB368F"/>
    <w:rsid w:val="00CB3699"/>
    <w:rsid w:val="00CB7C56"/>
    <w:rsid w:val="00CC1D1C"/>
    <w:rsid w:val="00CC55FC"/>
    <w:rsid w:val="00CC7C1B"/>
    <w:rsid w:val="00CD1860"/>
    <w:rsid w:val="00CD3C85"/>
    <w:rsid w:val="00CD3F53"/>
    <w:rsid w:val="00CD47B5"/>
    <w:rsid w:val="00CD58D1"/>
    <w:rsid w:val="00CD5D9A"/>
    <w:rsid w:val="00CE17CC"/>
    <w:rsid w:val="00CE373F"/>
    <w:rsid w:val="00CE3AA0"/>
    <w:rsid w:val="00CE4427"/>
    <w:rsid w:val="00CE75CD"/>
    <w:rsid w:val="00D00C56"/>
    <w:rsid w:val="00D00CE9"/>
    <w:rsid w:val="00D02851"/>
    <w:rsid w:val="00D057AC"/>
    <w:rsid w:val="00D05F1C"/>
    <w:rsid w:val="00D137D0"/>
    <w:rsid w:val="00D14648"/>
    <w:rsid w:val="00D155AB"/>
    <w:rsid w:val="00D15715"/>
    <w:rsid w:val="00D2081D"/>
    <w:rsid w:val="00D23F3C"/>
    <w:rsid w:val="00D23FA0"/>
    <w:rsid w:val="00D25456"/>
    <w:rsid w:val="00D30A23"/>
    <w:rsid w:val="00D34205"/>
    <w:rsid w:val="00D35A5A"/>
    <w:rsid w:val="00D42445"/>
    <w:rsid w:val="00D4278B"/>
    <w:rsid w:val="00D429F3"/>
    <w:rsid w:val="00D434BD"/>
    <w:rsid w:val="00D47E4E"/>
    <w:rsid w:val="00D506C6"/>
    <w:rsid w:val="00D5088B"/>
    <w:rsid w:val="00D514A7"/>
    <w:rsid w:val="00D53BEE"/>
    <w:rsid w:val="00D53C4D"/>
    <w:rsid w:val="00D54BA6"/>
    <w:rsid w:val="00D55A48"/>
    <w:rsid w:val="00D624C5"/>
    <w:rsid w:val="00D6461E"/>
    <w:rsid w:val="00D650D3"/>
    <w:rsid w:val="00D7013F"/>
    <w:rsid w:val="00D74240"/>
    <w:rsid w:val="00D74A06"/>
    <w:rsid w:val="00D74ADF"/>
    <w:rsid w:val="00D76E0E"/>
    <w:rsid w:val="00D85444"/>
    <w:rsid w:val="00D85C9F"/>
    <w:rsid w:val="00D92826"/>
    <w:rsid w:val="00D92CFE"/>
    <w:rsid w:val="00D95D57"/>
    <w:rsid w:val="00D95FB5"/>
    <w:rsid w:val="00DA05E5"/>
    <w:rsid w:val="00DA0A20"/>
    <w:rsid w:val="00DA12CA"/>
    <w:rsid w:val="00DA167C"/>
    <w:rsid w:val="00DB3908"/>
    <w:rsid w:val="00DB39D6"/>
    <w:rsid w:val="00DB59E9"/>
    <w:rsid w:val="00DB6BEC"/>
    <w:rsid w:val="00DC2253"/>
    <w:rsid w:val="00DC36F7"/>
    <w:rsid w:val="00DC3C42"/>
    <w:rsid w:val="00DC49AE"/>
    <w:rsid w:val="00DC541C"/>
    <w:rsid w:val="00DD1945"/>
    <w:rsid w:val="00DD2F8A"/>
    <w:rsid w:val="00DD48F6"/>
    <w:rsid w:val="00DE57D6"/>
    <w:rsid w:val="00DE7873"/>
    <w:rsid w:val="00DF323B"/>
    <w:rsid w:val="00DF3458"/>
    <w:rsid w:val="00DF3BAC"/>
    <w:rsid w:val="00DF4EB3"/>
    <w:rsid w:val="00DF5E36"/>
    <w:rsid w:val="00DF7F1C"/>
    <w:rsid w:val="00E00989"/>
    <w:rsid w:val="00E04CDB"/>
    <w:rsid w:val="00E05DC2"/>
    <w:rsid w:val="00E0617F"/>
    <w:rsid w:val="00E10369"/>
    <w:rsid w:val="00E15B6A"/>
    <w:rsid w:val="00E16F55"/>
    <w:rsid w:val="00E20BB0"/>
    <w:rsid w:val="00E222AF"/>
    <w:rsid w:val="00E234D7"/>
    <w:rsid w:val="00E25711"/>
    <w:rsid w:val="00E26BE2"/>
    <w:rsid w:val="00E314BE"/>
    <w:rsid w:val="00E315EA"/>
    <w:rsid w:val="00E31D69"/>
    <w:rsid w:val="00E325A8"/>
    <w:rsid w:val="00E32751"/>
    <w:rsid w:val="00E330FB"/>
    <w:rsid w:val="00E36ECC"/>
    <w:rsid w:val="00E40D93"/>
    <w:rsid w:val="00E4400E"/>
    <w:rsid w:val="00E47523"/>
    <w:rsid w:val="00E50F01"/>
    <w:rsid w:val="00E52C4D"/>
    <w:rsid w:val="00E5411E"/>
    <w:rsid w:val="00E54E23"/>
    <w:rsid w:val="00E56180"/>
    <w:rsid w:val="00E56A34"/>
    <w:rsid w:val="00E57DCD"/>
    <w:rsid w:val="00E65B9B"/>
    <w:rsid w:val="00E66D5B"/>
    <w:rsid w:val="00E67683"/>
    <w:rsid w:val="00E70092"/>
    <w:rsid w:val="00E70CFC"/>
    <w:rsid w:val="00E71CC0"/>
    <w:rsid w:val="00E722D4"/>
    <w:rsid w:val="00E73103"/>
    <w:rsid w:val="00E82F85"/>
    <w:rsid w:val="00E83F5B"/>
    <w:rsid w:val="00E87AB8"/>
    <w:rsid w:val="00E9111C"/>
    <w:rsid w:val="00E911C1"/>
    <w:rsid w:val="00E91532"/>
    <w:rsid w:val="00E9630B"/>
    <w:rsid w:val="00E9799F"/>
    <w:rsid w:val="00EA1004"/>
    <w:rsid w:val="00EA1E41"/>
    <w:rsid w:val="00EA26CC"/>
    <w:rsid w:val="00EA4937"/>
    <w:rsid w:val="00EA772F"/>
    <w:rsid w:val="00EB2016"/>
    <w:rsid w:val="00EB2F83"/>
    <w:rsid w:val="00EB48C7"/>
    <w:rsid w:val="00EB5C5E"/>
    <w:rsid w:val="00EB6410"/>
    <w:rsid w:val="00EC1728"/>
    <w:rsid w:val="00EC1B7B"/>
    <w:rsid w:val="00EC4AF0"/>
    <w:rsid w:val="00ED0431"/>
    <w:rsid w:val="00ED1471"/>
    <w:rsid w:val="00ED3146"/>
    <w:rsid w:val="00EE407B"/>
    <w:rsid w:val="00EF05B4"/>
    <w:rsid w:val="00EF327E"/>
    <w:rsid w:val="00EF3649"/>
    <w:rsid w:val="00EF4977"/>
    <w:rsid w:val="00F03883"/>
    <w:rsid w:val="00F072DC"/>
    <w:rsid w:val="00F07637"/>
    <w:rsid w:val="00F07BA6"/>
    <w:rsid w:val="00F10282"/>
    <w:rsid w:val="00F11A89"/>
    <w:rsid w:val="00F123FD"/>
    <w:rsid w:val="00F13539"/>
    <w:rsid w:val="00F16673"/>
    <w:rsid w:val="00F167A3"/>
    <w:rsid w:val="00F16D37"/>
    <w:rsid w:val="00F17AE5"/>
    <w:rsid w:val="00F22A10"/>
    <w:rsid w:val="00F22A23"/>
    <w:rsid w:val="00F23911"/>
    <w:rsid w:val="00F24F91"/>
    <w:rsid w:val="00F25AC6"/>
    <w:rsid w:val="00F26A8B"/>
    <w:rsid w:val="00F305F7"/>
    <w:rsid w:val="00F3536C"/>
    <w:rsid w:val="00F36D0C"/>
    <w:rsid w:val="00F36FDE"/>
    <w:rsid w:val="00F376EC"/>
    <w:rsid w:val="00F43247"/>
    <w:rsid w:val="00F4406C"/>
    <w:rsid w:val="00F4480D"/>
    <w:rsid w:val="00F50291"/>
    <w:rsid w:val="00F50F7B"/>
    <w:rsid w:val="00F51697"/>
    <w:rsid w:val="00F5317C"/>
    <w:rsid w:val="00F55FE1"/>
    <w:rsid w:val="00F563E7"/>
    <w:rsid w:val="00F65B6A"/>
    <w:rsid w:val="00F66C9C"/>
    <w:rsid w:val="00F67867"/>
    <w:rsid w:val="00F67902"/>
    <w:rsid w:val="00F71276"/>
    <w:rsid w:val="00F72794"/>
    <w:rsid w:val="00F769DE"/>
    <w:rsid w:val="00F77520"/>
    <w:rsid w:val="00F85CFD"/>
    <w:rsid w:val="00F87355"/>
    <w:rsid w:val="00F900B0"/>
    <w:rsid w:val="00F92B82"/>
    <w:rsid w:val="00F936E2"/>
    <w:rsid w:val="00F96065"/>
    <w:rsid w:val="00F9695C"/>
    <w:rsid w:val="00F97531"/>
    <w:rsid w:val="00FA74AC"/>
    <w:rsid w:val="00FA7820"/>
    <w:rsid w:val="00FB203E"/>
    <w:rsid w:val="00FB368F"/>
    <w:rsid w:val="00FB371B"/>
    <w:rsid w:val="00FC0861"/>
    <w:rsid w:val="00FC12A8"/>
    <w:rsid w:val="00FC4489"/>
    <w:rsid w:val="00FC5C8B"/>
    <w:rsid w:val="00FC67F4"/>
    <w:rsid w:val="00FC7369"/>
    <w:rsid w:val="00FC7C11"/>
    <w:rsid w:val="00FD17EA"/>
    <w:rsid w:val="00FE1E0B"/>
    <w:rsid w:val="00FE215A"/>
    <w:rsid w:val="00FE228A"/>
    <w:rsid w:val="00FE50D9"/>
    <w:rsid w:val="00FF04A9"/>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90113"/>
    <o:shapelayout v:ext="edit">
      <o:idmap v:ext="edit" data="1"/>
    </o:shapelayout>
  </w:shapeDefaults>
  <w:decimalSymbol w:val="."/>
  <w:listSeparator w:val=","/>
  <w14:docId w14:val="39B96968"/>
  <w15:docId w15:val="{03731F03-C704-4375-A8DC-21BD86C9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FD"/>
    <w:pPr>
      <w:spacing w:after="180"/>
    </w:pPr>
    <w:rPr>
      <w:sz w:val="24"/>
      <w:szCs w:val="24"/>
      <w:lang w:val="en-US" w:eastAsia="en-US"/>
    </w:rPr>
  </w:style>
  <w:style w:type="paragraph" w:styleId="Heading1">
    <w:name w:val="heading 1"/>
    <w:aliases w:val="ECHA Heading 1,ESR Heading 1"/>
    <w:next w:val="BodyText"/>
    <w:link w:val="Heading1Char"/>
    <w:qFormat/>
    <w:rsid w:val="0020328D"/>
    <w:pPr>
      <w:keepNext/>
      <w:numPr>
        <w:numId w:val="1"/>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rsid w:val="00640942"/>
    <w:pPr>
      <w:numPr>
        <w:ilvl w:val="1"/>
      </w:numPr>
      <w:tabs>
        <w:tab w:val="num" w:pos="1503"/>
      </w:tabs>
      <w:jc w:val="both"/>
      <w:outlineLvl w:val="1"/>
    </w:pPr>
    <w:rPr>
      <w:rFonts w:ascii="Verdana" w:hAnsi="Verdana"/>
      <w:caps w:val="0"/>
    </w:rPr>
  </w:style>
  <w:style w:type="paragraph" w:styleId="Heading3">
    <w:name w:val="heading 3"/>
    <w:aliases w:val="ECHA Heading 3,Sec"/>
    <w:basedOn w:val="Heading2"/>
    <w:next w:val="BodyText"/>
    <w:qFormat/>
    <w:rsid w:val="00AC0E4E"/>
    <w:pPr>
      <w:numPr>
        <w:ilvl w:val="2"/>
      </w:numPr>
      <w:tabs>
        <w:tab w:val="clear" w:pos="839"/>
      </w:tabs>
      <w:jc w:val="left"/>
      <w:outlineLvl w:val="2"/>
    </w:pPr>
  </w:style>
  <w:style w:type="paragraph" w:styleId="Heading4">
    <w:name w:val="heading 4"/>
    <w:aliases w:val="ECHA Heading 4"/>
    <w:basedOn w:val="Heading3"/>
    <w:next w:val="BodyText"/>
    <w:qFormat/>
    <w:rsid w:val="0020328D"/>
    <w:pPr>
      <w:numPr>
        <w:ilvl w:val="3"/>
      </w:numPr>
      <w:outlineLvl w:val="3"/>
    </w:pPr>
  </w:style>
  <w:style w:type="paragraph" w:styleId="Heading5">
    <w:name w:val="heading 5"/>
    <w:basedOn w:val="Normal"/>
    <w:next w:val="Normal"/>
    <w:link w:val="Heading5Char"/>
    <w:semiHidden/>
    <w:unhideWhenUsed/>
    <w:qFormat/>
    <w:rsid w:val="00124B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24BE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Char1, Char"/>
    <w:link w:val="BodyTextChar"/>
    <w:rsid w:val="0020328D"/>
    <w:pPr>
      <w:spacing w:after="180"/>
      <w:jc w:val="both"/>
    </w:pPr>
    <w:rPr>
      <w:sz w:val="24"/>
      <w:lang w:eastAsia="en-US"/>
    </w:rPr>
  </w:style>
  <w:style w:type="paragraph" w:customStyle="1" w:styleId="Tabletext">
    <w:name w:val="Table text"/>
    <w:link w:val="TabletextCar"/>
    <w:rsid w:val="0020328D"/>
    <w:pPr>
      <w:keepNext/>
      <w:keepLines/>
      <w:spacing w:before="54" w:after="54"/>
    </w:pPr>
    <w:rPr>
      <w:snapToGrid w:val="0"/>
      <w:lang w:val="en-US" w:eastAsia="da-DK"/>
    </w:rPr>
  </w:style>
  <w:style w:type="paragraph" w:styleId="TOC1">
    <w:name w:val="toc 1"/>
    <w:next w:val="BodyText"/>
    <w:uiPriority w:val="39"/>
    <w:rsid w:val="0020328D"/>
    <w:pPr>
      <w:tabs>
        <w:tab w:val="left" w:pos="284"/>
        <w:tab w:val="left" w:leader="dot" w:pos="9214"/>
        <w:tab w:val="right" w:pos="9639"/>
      </w:tabs>
      <w:spacing w:before="240"/>
    </w:pPr>
    <w:rPr>
      <w:caps/>
      <w:noProof/>
      <w:lang w:eastAsia="en-US"/>
    </w:rPr>
  </w:style>
  <w:style w:type="paragraph" w:styleId="Caption">
    <w:name w:val="caption"/>
    <w:aliases w:val="Caption Table"/>
    <w:next w:val="BodyText"/>
    <w:link w:val="CaptionChar"/>
    <w:qFormat/>
    <w:rsid w:val="0020328D"/>
    <w:pPr>
      <w:keepNext/>
      <w:spacing w:before="120" w:after="90"/>
      <w:ind w:left="57"/>
    </w:pPr>
    <w:rPr>
      <w:rFonts w:ascii="Times New Roman Bold" w:hAnsi="Times New Roman Bold"/>
      <w:bCs/>
      <w:sz w:val="24"/>
      <w:lang w:eastAsia="en-US"/>
    </w:rPr>
  </w:style>
  <w:style w:type="paragraph" w:customStyle="1" w:styleId="CoverTitle">
    <w:name w:val="Cover Title"/>
    <w:basedOn w:val="BodyText"/>
    <w:next w:val="BodyText"/>
    <w:rsid w:val="0020328D"/>
    <w:pPr>
      <w:spacing w:before="2160" w:after="240"/>
      <w:jc w:val="center"/>
    </w:pPr>
    <w:rPr>
      <w:rFonts w:ascii="Times New Roman Bold" w:hAnsi="Times New Roman Bold"/>
      <w:b/>
      <w:sz w:val="32"/>
    </w:rPr>
  </w:style>
  <w:style w:type="character" w:styleId="Hyperlink">
    <w:name w:val="Hyperlink"/>
    <w:uiPriority w:val="99"/>
    <w:rsid w:val="0020328D"/>
    <w:rPr>
      <w:rFonts w:ascii="Times New Roman" w:hAnsi="Times New Roman"/>
      <w:color w:val="0000FF"/>
      <w:sz w:val="20"/>
      <w:u w:val="single"/>
    </w:rPr>
  </w:style>
  <w:style w:type="table" w:styleId="TableGrid">
    <w:name w:val="Table Grid"/>
    <w:basedOn w:val="TableNormal"/>
    <w:rsid w:val="0020328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Table Char"/>
    <w:link w:val="Caption"/>
    <w:rsid w:val="0020328D"/>
    <w:rPr>
      <w:rFonts w:ascii="Times New Roman Bold" w:hAnsi="Times New Roman Bold"/>
      <w:bCs/>
      <w:sz w:val="24"/>
      <w:lang w:val="en-GB" w:eastAsia="en-US" w:bidi="ar-SA"/>
    </w:rPr>
  </w:style>
  <w:style w:type="character" w:customStyle="1" w:styleId="TabletextCar">
    <w:name w:val="Table text Car"/>
    <w:link w:val="Tabletext"/>
    <w:rsid w:val="0020328D"/>
    <w:rPr>
      <w:snapToGrid w:val="0"/>
      <w:lang w:val="en-US" w:eastAsia="da-DK" w:bidi="ar-SA"/>
    </w:rPr>
  </w:style>
  <w:style w:type="character" w:customStyle="1" w:styleId="BodyTextChar">
    <w:name w:val="Body Text Char"/>
    <w:aliases w:val=" Car Char,Car Char,Char1 Char, Char Char"/>
    <w:link w:val="BodyText"/>
    <w:rsid w:val="0020328D"/>
    <w:rPr>
      <w:sz w:val="24"/>
      <w:lang w:val="en-GB" w:eastAsia="en-US" w:bidi="ar-SA"/>
    </w:rPr>
  </w:style>
  <w:style w:type="paragraph" w:styleId="ListBullet">
    <w:name w:val="List Bullet"/>
    <w:next w:val="BodyText"/>
    <w:rsid w:val="00353CCB"/>
    <w:pPr>
      <w:numPr>
        <w:numId w:val="2"/>
      </w:numPr>
      <w:tabs>
        <w:tab w:val="clear" w:pos="425"/>
        <w:tab w:val="left" w:pos="357"/>
      </w:tabs>
      <w:ind w:left="357" w:hanging="357"/>
      <w:jc w:val="both"/>
    </w:pPr>
    <w:rPr>
      <w:sz w:val="24"/>
      <w:lang w:eastAsia="en-US"/>
    </w:rPr>
  </w:style>
  <w:style w:type="paragraph" w:customStyle="1" w:styleId="Default">
    <w:name w:val="Default"/>
    <w:rsid w:val="00D92CFE"/>
    <w:pPr>
      <w:autoSpaceDE w:val="0"/>
      <w:autoSpaceDN w:val="0"/>
      <w:adjustRightInd w:val="0"/>
    </w:pPr>
    <w:rPr>
      <w:color w:val="000000"/>
      <w:sz w:val="24"/>
      <w:szCs w:val="24"/>
    </w:rPr>
  </w:style>
  <w:style w:type="paragraph" w:styleId="Header">
    <w:name w:val="header"/>
    <w:basedOn w:val="Normal"/>
    <w:rsid w:val="00CC1D1C"/>
    <w:pPr>
      <w:tabs>
        <w:tab w:val="center" w:pos="4153"/>
        <w:tab w:val="right" w:pos="8306"/>
      </w:tabs>
    </w:pPr>
  </w:style>
  <w:style w:type="paragraph" w:styleId="Footer">
    <w:name w:val="footer"/>
    <w:basedOn w:val="Normal"/>
    <w:link w:val="FooterChar"/>
    <w:uiPriority w:val="99"/>
    <w:rsid w:val="00CC1D1C"/>
    <w:pPr>
      <w:tabs>
        <w:tab w:val="center" w:pos="4153"/>
        <w:tab w:val="right" w:pos="8306"/>
      </w:tabs>
    </w:pPr>
  </w:style>
  <w:style w:type="paragraph" w:styleId="TOC2">
    <w:name w:val="toc 2"/>
    <w:basedOn w:val="Normal"/>
    <w:next w:val="Normal"/>
    <w:autoRedefine/>
    <w:uiPriority w:val="39"/>
    <w:rsid w:val="00D14648"/>
    <w:pPr>
      <w:tabs>
        <w:tab w:val="left" w:pos="720"/>
        <w:tab w:val="right" w:pos="8460"/>
      </w:tabs>
      <w:spacing w:after="0"/>
      <w:ind w:left="709" w:right="90" w:hanging="469"/>
    </w:pPr>
  </w:style>
  <w:style w:type="character" w:styleId="CommentReference">
    <w:name w:val="annotation reference"/>
    <w:rsid w:val="002C78BD"/>
    <w:rPr>
      <w:sz w:val="16"/>
      <w:szCs w:val="16"/>
    </w:rPr>
  </w:style>
  <w:style w:type="paragraph" w:styleId="CommentText">
    <w:name w:val="annotation text"/>
    <w:basedOn w:val="Normal"/>
    <w:link w:val="CommentTextChar"/>
    <w:uiPriority w:val="99"/>
    <w:rsid w:val="002C78BD"/>
    <w:rPr>
      <w:sz w:val="20"/>
      <w:szCs w:val="20"/>
    </w:rPr>
  </w:style>
  <w:style w:type="character" w:customStyle="1" w:styleId="CommentTextChar">
    <w:name w:val="Comment Text Char"/>
    <w:link w:val="CommentText"/>
    <w:uiPriority w:val="99"/>
    <w:rsid w:val="002C78BD"/>
    <w:rPr>
      <w:lang w:val="en-US" w:eastAsia="en-US"/>
    </w:rPr>
  </w:style>
  <w:style w:type="paragraph" w:styleId="CommentSubject">
    <w:name w:val="annotation subject"/>
    <w:basedOn w:val="CommentText"/>
    <w:next w:val="CommentText"/>
    <w:link w:val="CommentSubjectChar"/>
    <w:rsid w:val="002C78BD"/>
    <w:rPr>
      <w:b/>
      <w:bCs/>
    </w:rPr>
  </w:style>
  <w:style w:type="character" w:customStyle="1" w:styleId="CommentSubjectChar">
    <w:name w:val="Comment Subject Char"/>
    <w:link w:val="CommentSubject"/>
    <w:rsid w:val="002C78BD"/>
    <w:rPr>
      <w:b/>
      <w:bCs/>
      <w:lang w:val="en-US" w:eastAsia="en-US"/>
    </w:rPr>
  </w:style>
  <w:style w:type="paragraph" w:styleId="BalloonText">
    <w:name w:val="Balloon Text"/>
    <w:basedOn w:val="Normal"/>
    <w:link w:val="BalloonTextChar"/>
    <w:rsid w:val="002C78BD"/>
    <w:pPr>
      <w:spacing w:after="0"/>
    </w:pPr>
    <w:rPr>
      <w:rFonts w:ascii="Tahoma" w:hAnsi="Tahoma" w:cs="Tahoma"/>
      <w:sz w:val="16"/>
      <w:szCs w:val="16"/>
    </w:rPr>
  </w:style>
  <w:style w:type="character" w:customStyle="1" w:styleId="BalloonTextChar">
    <w:name w:val="Balloon Text Char"/>
    <w:link w:val="BalloonText"/>
    <w:rsid w:val="002C78BD"/>
    <w:rPr>
      <w:rFonts w:ascii="Tahoma" w:hAnsi="Tahoma" w:cs="Tahoma"/>
      <w:sz w:val="16"/>
      <w:szCs w:val="16"/>
      <w:lang w:val="en-US" w:eastAsia="en-US"/>
    </w:rPr>
  </w:style>
  <w:style w:type="character" w:customStyle="1" w:styleId="FooterChar">
    <w:name w:val="Footer Char"/>
    <w:link w:val="Footer"/>
    <w:uiPriority w:val="99"/>
    <w:rsid w:val="00723BD5"/>
    <w:rPr>
      <w:sz w:val="24"/>
      <w:szCs w:val="24"/>
      <w:lang w:val="en-US" w:eastAsia="en-US"/>
    </w:rPr>
  </w:style>
  <w:style w:type="paragraph" w:styleId="FootnoteText">
    <w:name w:val="footnote text"/>
    <w:aliases w:val="Footnote Text Char Char"/>
    <w:basedOn w:val="Normal"/>
    <w:link w:val="FootnoteTextChar"/>
    <w:rsid w:val="00582EF5"/>
    <w:rPr>
      <w:sz w:val="20"/>
      <w:szCs w:val="20"/>
    </w:rPr>
  </w:style>
  <w:style w:type="character" w:customStyle="1" w:styleId="FootnoteTextChar">
    <w:name w:val="Footnote Text Char"/>
    <w:aliases w:val="Footnote Text Char Char Char"/>
    <w:link w:val="FootnoteText"/>
    <w:rsid w:val="00582EF5"/>
    <w:rPr>
      <w:lang w:val="en-US" w:eastAsia="en-US"/>
    </w:rPr>
  </w:style>
  <w:style w:type="character" w:styleId="FootnoteReference">
    <w:name w:val="footnote reference"/>
    <w:aliases w:val="Footnote,Footnote Reference/"/>
    <w:rsid w:val="00582EF5"/>
    <w:rPr>
      <w:vertAlign w:val="superscript"/>
    </w:rPr>
  </w:style>
  <w:style w:type="character" w:styleId="FollowedHyperlink">
    <w:name w:val="FollowedHyperlink"/>
    <w:rsid w:val="004E4241"/>
    <w:rPr>
      <w:color w:val="800080"/>
      <w:u w:val="single"/>
    </w:rPr>
  </w:style>
  <w:style w:type="paragraph" w:customStyle="1" w:styleId="NormalLeft">
    <w:name w:val="Normal Left"/>
    <w:basedOn w:val="Normal"/>
    <w:rsid w:val="008D3633"/>
    <w:pPr>
      <w:widowControl w:val="0"/>
      <w:autoSpaceDE w:val="0"/>
      <w:autoSpaceDN w:val="0"/>
      <w:spacing w:before="120" w:after="120"/>
      <w:jc w:val="both"/>
    </w:pPr>
    <w:rPr>
      <w:rFonts w:ascii="Verdana" w:hAnsi="Verdana"/>
      <w:snapToGrid w:val="0"/>
      <w:sz w:val="20"/>
      <w:szCs w:val="20"/>
      <w:lang w:val="en-GB" w:eastAsia="en-GB"/>
    </w:rPr>
  </w:style>
  <w:style w:type="paragraph" w:styleId="TOC3">
    <w:name w:val="toc 3"/>
    <w:basedOn w:val="Normal"/>
    <w:next w:val="Normal"/>
    <w:autoRedefine/>
    <w:uiPriority w:val="39"/>
    <w:rsid w:val="00C33B0D"/>
    <w:pPr>
      <w:spacing w:after="100"/>
      <w:ind w:left="480"/>
    </w:pPr>
  </w:style>
  <w:style w:type="paragraph" w:styleId="ListParagraph">
    <w:name w:val="List Paragraph"/>
    <w:basedOn w:val="Normal"/>
    <w:uiPriority w:val="34"/>
    <w:qFormat/>
    <w:rsid w:val="006F12BB"/>
    <w:pPr>
      <w:ind w:left="720"/>
      <w:contextualSpacing/>
    </w:pPr>
  </w:style>
  <w:style w:type="character" w:styleId="Emphasis">
    <w:name w:val="Emphasis"/>
    <w:basedOn w:val="DefaultParagraphFont"/>
    <w:qFormat/>
    <w:rsid w:val="005A5B87"/>
    <w:rPr>
      <w:i/>
      <w:iCs/>
    </w:rPr>
  </w:style>
  <w:style w:type="character" w:styleId="PlaceholderText">
    <w:name w:val="Placeholder Text"/>
    <w:basedOn w:val="DefaultParagraphFont"/>
    <w:uiPriority w:val="99"/>
    <w:semiHidden/>
    <w:rsid w:val="00FB368F"/>
    <w:rPr>
      <w:color w:val="808080"/>
    </w:rPr>
  </w:style>
  <w:style w:type="paragraph" w:styleId="NoSpacing">
    <w:name w:val="No Spacing"/>
    <w:link w:val="NoSpacingChar"/>
    <w:uiPriority w:val="1"/>
    <w:qFormat/>
    <w:rsid w:val="00C33C4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33C4C"/>
    <w:rPr>
      <w:rFonts w:asciiTheme="minorHAnsi" w:eastAsiaTheme="minorEastAsia" w:hAnsiTheme="minorHAnsi" w:cstheme="minorBidi"/>
      <w:sz w:val="22"/>
      <w:szCs w:val="22"/>
      <w:lang w:val="en-US" w:eastAsia="ja-JP"/>
    </w:rPr>
  </w:style>
  <w:style w:type="character" w:styleId="Strong">
    <w:name w:val="Strong"/>
    <w:uiPriority w:val="22"/>
    <w:qFormat/>
    <w:rsid w:val="00C00884"/>
    <w:rPr>
      <w:b/>
      <w:bCs/>
    </w:rPr>
  </w:style>
  <w:style w:type="character" w:styleId="PageNumber">
    <w:name w:val="page number"/>
    <w:basedOn w:val="DefaultParagraphFont"/>
    <w:rsid w:val="008E3508"/>
  </w:style>
  <w:style w:type="character" w:customStyle="1" w:styleId="value1">
    <w:name w:val="value1"/>
    <w:rsid w:val="00F22A10"/>
    <w:rPr>
      <w:vanish w:val="0"/>
      <w:webHidden w:val="0"/>
      <w:color w:val="4A6463"/>
      <w:sz w:val="29"/>
      <w:szCs w:val="29"/>
      <w:specVanish w:val="0"/>
    </w:rPr>
  </w:style>
  <w:style w:type="table" w:styleId="TableProfessional">
    <w:name w:val="Table Professional"/>
    <w:basedOn w:val="TableNormal"/>
    <w:rsid w:val="00533DB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text0">
    <w:name w:val="Tabletext"/>
    <w:basedOn w:val="BodyText"/>
    <w:rsid w:val="00A96619"/>
    <w:pPr>
      <w:spacing w:after="0"/>
      <w:jc w:val="left"/>
    </w:pPr>
    <w:rPr>
      <w:rFonts w:ascii="Verdana" w:hAnsi="Verdana" w:cstheme="minorBidi"/>
      <w:sz w:val="18"/>
      <w:szCs w:val="22"/>
      <w:lang w:eastAsia="en-GB"/>
    </w:rPr>
  </w:style>
  <w:style w:type="paragraph" w:customStyle="1" w:styleId="Table-Heading">
    <w:name w:val="Table - Heading"/>
    <w:basedOn w:val="Normal"/>
    <w:next w:val="Normal"/>
    <w:rsid w:val="00161903"/>
    <w:pPr>
      <w:autoSpaceDE w:val="0"/>
      <w:autoSpaceDN w:val="0"/>
      <w:adjustRightInd w:val="0"/>
      <w:spacing w:after="0"/>
    </w:pPr>
    <w:rPr>
      <w:rFonts w:ascii="Arial" w:hAnsi="Arial"/>
      <w:lang w:val="en-GB" w:eastAsia="en-GB"/>
    </w:rPr>
  </w:style>
  <w:style w:type="paragraph" w:customStyle="1" w:styleId="Table-Contents">
    <w:name w:val="Table - Contents"/>
    <w:basedOn w:val="Normal"/>
    <w:next w:val="Normal"/>
    <w:rsid w:val="00161903"/>
    <w:pPr>
      <w:autoSpaceDE w:val="0"/>
      <w:autoSpaceDN w:val="0"/>
      <w:adjustRightInd w:val="0"/>
      <w:spacing w:after="0"/>
    </w:pPr>
    <w:rPr>
      <w:rFonts w:ascii="Arial" w:hAnsi="Arial"/>
      <w:lang w:val="en-GB" w:eastAsia="en-GB"/>
    </w:rPr>
  </w:style>
  <w:style w:type="character" w:customStyle="1" w:styleId="Heading1Char">
    <w:name w:val="Heading 1 Char"/>
    <w:aliases w:val="ECHA Heading 1 Char,ESR Heading 1 Char"/>
    <w:basedOn w:val="DefaultParagraphFont"/>
    <w:link w:val="Heading1"/>
    <w:rsid w:val="00124BE4"/>
    <w:rPr>
      <w:rFonts w:ascii="Times New Roman Bold" w:hAnsi="Times New Roman Bold"/>
      <w:b/>
      <w:caps/>
      <w:sz w:val="24"/>
      <w:lang w:eastAsia="en-US"/>
    </w:rPr>
  </w:style>
  <w:style w:type="character" w:customStyle="1" w:styleId="Heading5Char">
    <w:name w:val="Heading 5 Char"/>
    <w:basedOn w:val="DefaultParagraphFont"/>
    <w:link w:val="Heading5"/>
    <w:semiHidden/>
    <w:rsid w:val="00124BE4"/>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semiHidden/>
    <w:rsid w:val="00124BE4"/>
    <w:rPr>
      <w:rFonts w:asciiTheme="majorHAnsi" w:eastAsiaTheme="majorEastAsia" w:hAnsiTheme="majorHAnsi" w:cstheme="majorBidi"/>
      <w:color w:val="243F60" w:themeColor="accent1" w:themeShade="7F"/>
      <w:sz w:val="24"/>
      <w:szCs w:val="24"/>
      <w:lang w:val="en-US" w:eastAsia="en-US"/>
    </w:rPr>
  </w:style>
  <w:style w:type="paragraph" w:customStyle="1" w:styleId="Tableheader">
    <w:name w:val="Table header"/>
    <w:basedOn w:val="BodyText"/>
    <w:rsid w:val="000B0125"/>
    <w:pPr>
      <w:spacing w:after="120"/>
      <w:jc w:val="left"/>
    </w:pPr>
    <w:rPr>
      <w:rFonts w:ascii="Verdana" w:hAnsi="Verdana" w:cstheme="minorBidi"/>
      <w:b/>
      <w:color w:val="FFCC00"/>
      <w:sz w:val="18"/>
      <w:szCs w:val="18"/>
      <w:lang w:eastAsia="en-GB"/>
    </w:rPr>
  </w:style>
  <w:style w:type="paragraph" w:styleId="Revision">
    <w:name w:val="Revision"/>
    <w:hidden/>
    <w:uiPriority w:val="99"/>
    <w:semiHidden/>
    <w:rsid w:val="002F2E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6974">
      <w:bodyDiv w:val="1"/>
      <w:marLeft w:val="0"/>
      <w:marRight w:val="0"/>
      <w:marTop w:val="0"/>
      <w:marBottom w:val="0"/>
      <w:divBdr>
        <w:top w:val="none" w:sz="0" w:space="0" w:color="auto"/>
        <w:left w:val="none" w:sz="0" w:space="0" w:color="auto"/>
        <w:bottom w:val="none" w:sz="0" w:space="0" w:color="auto"/>
        <w:right w:val="none" w:sz="0" w:space="0" w:color="auto"/>
      </w:divBdr>
    </w:div>
    <w:div w:id="19746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www.lung.mv-regierung.de/dateien/a3_cohiba_final_summary_report_2012.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esis.jrc.ec.europa.eu/doc/risk_assessment/ADDENDUM/sccp_add_0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cha.europa.eu/substance-information/-/substanceinfo/100.077.422" TargetMode="External"/><Relationship Id="rId32" Type="http://schemas.openxmlformats.org/officeDocument/2006/relationships/hyperlink" Target="https://ec.europa.eu/environment/waste/rohs_eee/pdf/SE%20ROHS%20Annex%20II%20Dossier%20MCCP.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ha.europa.eu/substance-information/-/substanceinfo/100.076.273" TargetMode="External"/><Relationship Id="rId28" Type="http://schemas.openxmlformats.org/officeDocument/2006/relationships/hyperlink" Target="https://ec.europa.eu/jrc/en/publication/eur-scientific-and-technical-research-reports/european-union-risk-assessment-report-alkanes-c14-17-chloro-addendum-final-report-2007-risk"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echa.europa.eu/documents/10162/13630/trd_uk_mccp_en.pdf/99f3adcd-6481-46f7-a3de-3961158fcf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3.png"/><Relationship Id="rId27" Type="http://schemas.openxmlformats.org/officeDocument/2006/relationships/hyperlink" Target="http://www.vecap.info/" TargetMode="External"/><Relationship Id="rId30" Type="http://schemas.openxmlformats.org/officeDocument/2006/relationships/hyperlink" Target="https://www.ncbi.nlm.nih.gov/pubmed/29791144"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web/guest/information-on-chemicals/cl-inventor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ECHACategoryTaxHTField0 xmlns="4811b924-dee2-413a-bdc8-2cc023473c17">
      <Terms xmlns="http://schemas.microsoft.com/office/infopath/2007/PartnerControls"/>
    </ECHACategoryTaxHTField0>
    <TaxCatchAll xmlns="b80ede5c-af4c-4bf2-9a87-706a3579dc11">
      <Value>2</Value>
      <Value>1</Value>
    </TaxCatchAll>
    <ECHADocumentTypeTaxHTField0 xmlns="4811b924-dee2-413a-bdc8-2cc023473c17">
      <Terms xmlns="http://schemas.microsoft.com/office/infopath/2007/PartnerControl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 xmlns="b80ede5c-af4c-4bf2-9a87-706a3579dc11">ACTV3-10-8191</_dlc_DocId>
    <_dlc_DocIdUrl xmlns="b80ede5c-af4c-4bf2-9a87-706a3579dc11">
      <Url>https://activity.echa.europa.eu/sites/act-3/process-3-1/_layouts/DocIdRedir.aspx?ID=ACTV3-10-8191</Url>
      <Description>ACTV3-10-8191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3776-7C9E-431C-A2BE-52040DE8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E802-AD47-45A9-8CF3-15528C1512F9}">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b80ede5c-af4c-4bf2-9a87-706a3579dc11"/>
    <ds:schemaRef ds:uri="4811b924-dee2-413a-bdc8-2cc023473c17"/>
    <ds:schemaRef ds:uri="http://www.w3.org/XML/1998/namespace"/>
  </ds:schemaRefs>
</ds:datastoreItem>
</file>

<file path=customXml/itemProps3.xml><?xml version="1.0" encoding="utf-8"?>
<ds:datastoreItem xmlns:ds="http://schemas.openxmlformats.org/officeDocument/2006/customXml" ds:itemID="{28031FF1-8B2C-43BF-9541-F8C4B8255001}">
  <ds:schemaRefs>
    <ds:schemaRef ds:uri="http://schemas.microsoft.com/office/2006/metadata/longProperties"/>
  </ds:schemaRefs>
</ds:datastoreItem>
</file>

<file path=customXml/itemProps4.xml><?xml version="1.0" encoding="utf-8"?>
<ds:datastoreItem xmlns:ds="http://schemas.openxmlformats.org/officeDocument/2006/customXml" ds:itemID="{99B5B41A-9D4F-4825-B5AF-AD4C595DDDCF}">
  <ds:schemaRefs>
    <ds:schemaRef ds:uri="http://schemas.microsoft.com/sharepoint/v3/contenttype/forms"/>
  </ds:schemaRefs>
</ds:datastoreItem>
</file>

<file path=customXml/itemProps5.xml><?xml version="1.0" encoding="utf-8"?>
<ds:datastoreItem xmlns:ds="http://schemas.openxmlformats.org/officeDocument/2006/customXml" ds:itemID="{7CC2D1CC-E09D-427F-8D8C-07F6F390B3E5}">
  <ds:schemaRefs>
    <ds:schemaRef ds:uri="http://schemas.microsoft.com/sharepoint/events"/>
  </ds:schemaRefs>
</ds:datastoreItem>
</file>

<file path=customXml/itemProps6.xml><?xml version="1.0" encoding="utf-8"?>
<ds:datastoreItem xmlns:ds="http://schemas.openxmlformats.org/officeDocument/2006/customXml" ds:itemID="{9911456E-4C82-4774-B0DB-087814D01A01}">
  <ds:schemaRefs>
    <ds:schemaRef ds:uri="Microsoft.SharePoint.Taxonomy.ContentTypeSync"/>
  </ds:schemaRefs>
</ds:datastoreItem>
</file>

<file path=customXml/itemProps7.xml><?xml version="1.0" encoding="utf-8"?>
<ds:datastoreItem xmlns:ds="http://schemas.openxmlformats.org/officeDocument/2006/customXml" ds:itemID="{6235E209-FA01-4048-B1C6-E620C50C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39</Pages>
  <Words>13462</Words>
  <Characters>79883</Characters>
  <Application>Microsoft Office Word</Application>
  <DocSecurity>0</DocSecurity>
  <Lines>665</Lines>
  <Paragraphs>186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Justification for the selection of a candidate CoRAP substance</vt:lpstr>
      <vt:lpstr>Justification for the selection of a candidate CoRAP substance</vt:lpstr>
    </vt:vector>
  </TitlesOfParts>
  <Company>European Chemicals Agency</Company>
  <LinksUpToDate>false</LinksUpToDate>
  <CharactersWithSpaces>93159</CharactersWithSpaces>
  <SharedDoc>false</SharedDoc>
  <HLinks>
    <vt:vector size="18" baseType="variant">
      <vt:variant>
        <vt:i4>7340132</vt:i4>
      </vt:variant>
      <vt:variant>
        <vt:i4>60</vt:i4>
      </vt:variant>
      <vt:variant>
        <vt:i4>0</vt:i4>
      </vt:variant>
      <vt:variant>
        <vt:i4>5</vt:i4>
      </vt:variant>
      <vt:variant>
        <vt:lpwstr>http://echa.europa.eu/information-on-chemicals</vt:lpwstr>
      </vt:variant>
      <vt:variant>
        <vt:lpwstr/>
      </vt:variant>
      <vt:variant>
        <vt:i4>3866662</vt:i4>
      </vt:variant>
      <vt:variant>
        <vt:i4>57</vt:i4>
      </vt:variant>
      <vt:variant>
        <vt:i4>0</vt:i4>
      </vt:variant>
      <vt:variant>
        <vt:i4>5</vt:i4>
      </vt:variant>
      <vt:variant>
        <vt:lpwstr>http://echa.europa.eu/web/guest/regulations/clp/legislation</vt:lpwstr>
      </vt:variant>
      <vt:variant>
        <vt:lpwstr/>
      </vt:variant>
      <vt:variant>
        <vt:i4>7929890</vt:i4>
      </vt:variant>
      <vt:variant>
        <vt:i4>54</vt:i4>
      </vt:variant>
      <vt:variant>
        <vt:i4>0</vt:i4>
      </vt:variant>
      <vt:variant>
        <vt:i4>5</vt:i4>
      </vt:variant>
      <vt:variant>
        <vt:lpwstr>http://echa.europa.eu/web/guest/information-on-chemicals/cl-inventory-database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the selection of a candidate CoRAP substance</dc:title>
  <dc:creator>European Chemicals Agency</dc:creator>
  <cp:lastModifiedBy>Dean, Richard</cp:lastModifiedBy>
  <cp:revision>16</cp:revision>
  <cp:lastPrinted>2014-10-24T09:20:00Z</cp:lastPrinted>
  <dcterms:created xsi:type="dcterms:W3CDTF">2019-11-01T15:58:00Z</dcterms:created>
  <dcterms:modified xsi:type="dcterms:W3CDTF">2019-11-19T17:10:00Z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0x010100B558917389A54ADDB58930FBD7E6FD57008586DED9191B4C4CBD31A5DF7F304A71007808A1CA0E4EF14790F53ECF057752F5</vt:lpwstr>
  </property>
  <property fmtid="{D5CDD505-2E9C-101B-9397-08002B2CF9AE}" pid="4" name="ECHAProcess">
    <vt:lpwstr>2;#03.01 Preparation for Risk management|d80fe072-1fec-4844-8783-25e18f728697</vt:lpwstr>
  </property>
  <property fmtid="{D5CDD505-2E9C-101B-9397-08002B2CF9AE}" pid="5" name="_dlc_DocIdItemGuid">
    <vt:lpwstr>91197313-973b-4c82-a3dd-6a09c6fbc432</vt:lpwstr>
  </property>
  <property fmtid="{D5CDD505-2E9C-101B-9397-08002B2CF9AE}" pid="6" name="ECHADocumentType">
    <vt:lpwstr/>
  </property>
  <property fmtid="{D5CDD505-2E9C-101B-9397-08002B2CF9AE}" pid="7" name="ECHASecClass">
    <vt:lpwstr>1;#|a0307bc2-faf9-4068-8aeb-b713e4fa2a0f</vt:lpwstr>
  </property>
  <property fmtid="{D5CDD505-2E9C-101B-9397-08002B2CF9AE}" pid="8" name="ECHACategory">
    <vt:lpwstr/>
  </property>
</Properties>
</file>